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sz w:val="44"/>
          <w:szCs w:val="44"/>
          <w:highlight w:val="none"/>
        </w:rPr>
      </w:pPr>
    </w:p>
    <w:p>
      <w:pPr>
        <w:jc w:val="center"/>
        <w:rPr>
          <w:rFonts w:hint="eastAsia" w:ascii="宋体" w:hAnsi="宋体" w:eastAsia="宋体" w:cs="宋体"/>
          <w:spacing w:val="20"/>
          <w:sz w:val="56"/>
          <w:szCs w:val="56"/>
          <w:highlight w:val="none"/>
        </w:rPr>
      </w:pPr>
    </w:p>
    <w:p>
      <w:pPr>
        <w:autoSpaceDE w:val="0"/>
        <w:autoSpaceDN w:val="0"/>
        <w:spacing w:beforeLines="50" w:afterLines="50" w:line="360" w:lineRule="auto"/>
        <w:jc w:val="center"/>
        <w:rPr>
          <w:rFonts w:hint="eastAsia" w:ascii="宋体" w:hAnsi="宋体" w:eastAsia="宋体" w:cs="宋体"/>
          <w:b/>
          <w:sz w:val="44"/>
          <w:szCs w:val="44"/>
          <w:highlight w:val="none"/>
        </w:rPr>
      </w:pPr>
      <w:r>
        <w:rPr>
          <w:rFonts w:hint="eastAsia" w:cs="宋体"/>
          <w:b/>
          <w:sz w:val="44"/>
          <w:szCs w:val="44"/>
          <w:highlight w:val="none"/>
          <w:lang w:val="en-US" w:eastAsia="zh-CN"/>
        </w:rPr>
        <w:t>菏泽职业学院校园正版化服务项目</w:t>
      </w:r>
    </w:p>
    <w:p>
      <w:pPr>
        <w:autoSpaceDE w:val="0"/>
        <w:autoSpaceDN w:val="0"/>
        <w:spacing w:beforeLines="50" w:afterLines="50" w:line="360" w:lineRule="auto"/>
        <w:jc w:val="center"/>
        <w:rPr>
          <w:rFonts w:hint="eastAsia" w:ascii="宋体" w:hAnsi="宋体" w:eastAsia="宋体" w:cs="宋体"/>
          <w:b/>
          <w:sz w:val="44"/>
          <w:szCs w:val="44"/>
          <w:highlight w:val="none"/>
          <w:lang w:val="zh-CN"/>
        </w:rPr>
      </w:pPr>
    </w:p>
    <w:p>
      <w:pPr>
        <w:autoSpaceDE w:val="0"/>
        <w:autoSpaceDN w:val="0"/>
        <w:spacing w:beforeLines="50" w:afterLines="50" w:line="360" w:lineRule="auto"/>
        <w:jc w:val="center"/>
        <w:rPr>
          <w:rFonts w:hint="eastAsia" w:ascii="宋体" w:hAnsi="宋体" w:eastAsia="宋体" w:cs="宋体"/>
          <w:b/>
          <w:sz w:val="44"/>
          <w:szCs w:val="44"/>
          <w:highlight w:val="none"/>
          <w:lang w:val="zh-CN"/>
        </w:rPr>
      </w:pPr>
      <w:r>
        <w:rPr>
          <w:rFonts w:hint="eastAsia" w:ascii="宋体" w:hAnsi="宋体" w:eastAsia="宋体" w:cs="宋体"/>
          <w:b/>
          <w:sz w:val="44"/>
          <w:szCs w:val="44"/>
          <w:highlight w:val="none"/>
          <w:lang w:val="zh-CN"/>
        </w:rPr>
        <w:t>竞争性磋商文件</w:t>
      </w:r>
    </w:p>
    <w:p>
      <w:pPr>
        <w:pStyle w:val="20"/>
        <w:spacing w:line="360" w:lineRule="auto"/>
        <w:ind w:firstLine="442" w:firstLineChars="100"/>
        <w:jc w:val="center"/>
        <w:rPr>
          <w:rFonts w:hint="eastAsia" w:ascii="宋体" w:hAnsi="宋体" w:eastAsia="宋体" w:cs="宋体"/>
          <w:b/>
          <w:bCs/>
          <w:sz w:val="44"/>
          <w:highlight w:val="none"/>
          <w:shd w:val="clear" w:color="auto" w:fill="FFFFFF"/>
        </w:rPr>
      </w:pPr>
    </w:p>
    <w:p>
      <w:pPr>
        <w:tabs>
          <w:tab w:val="center" w:pos="1376"/>
        </w:tabs>
        <w:spacing w:line="360" w:lineRule="auto"/>
        <w:jc w:val="center"/>
        <w:rPr>
          <w:rFonts w:hint="eastAsia" w:ascii="宋体" w:hAnsi="宋体" w:eastAsia="宋体" w:cs="宋体"/>
          <w:sz w:val="28"/>
          <w:highlight w:val="none"/>
        </w:rPr>
      </w:pPr>
      <w:r>
        <w:rPr>
          <w:rFonts w:hint="eastAsia" w:ascii="宋体" w:hAnsi="宋体" w:eastAsia="宋体" w:cs="宋体"/>
          <w:b/>
          <w:bCs/>
          <w:sz w:val="28"/>
          <w:highlight w:val="none"/>
          <w:shd w:val="clear" w:color="auto" w:fill="FFFFFF"/>
        </w:rPr>
        <w:t>项目编号：SDGP371700000202202000272</w:t>
      </w: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autoSpaceDE w:val="0"/>
        <w:autoSpaceDN w:val="0"/>
        <w:adjustRightInd w:val="0"/>
        <w:spacing w:line="360" w:lineRule="auto"/>
        <w:ind w:left="960" w:leftChars="400" w:firstLine="723" w:firstLineChars="300"/>
        <w:rPr>
          <w:rFonts w:hint="eastAsia" w:ascii="宋体" w:hAnsi="宋体" w:eastAsia="宋体" w:cs="宋体"/>
          <w:b/>
          <w:bCs/>
          <w:sz w:val="24"/>
          <w:highlight w:val="none"/>
        </w:rPr>
      </w:pPr>
    </w:p>
    <w:p>
      <w:pPr>
        <w:autoSpaceDE w:val="0"/>
        <w:autoSpaceDN w:val="0"/>
        <w:adjustRightInd w:val="0"/>
        <w:spacing w:line="360" w:lineRule="auto"/>
        <w:ind w:left="960" w:leftChars="400" w:firstLine="723" w:firstLineChars="300"/>
        <w:rPr>
          <w:rFonts w:hint="eastAsia" w:ascii="宋体" w:hAnsi="宋体" w:eastAsia="宋体" w:cs="宋体"/>
          <w:b/>
          <w:bCs/>
          <w:sz w:val="24"/>
          <w:highlight w:val="none"/>
        </w:rPr>
      </w:pPr>
    </w:p>
    <w:p>
      <w:pPr>
        <w:autoSpaceDE w:val="0"/>
        <w:autoSpaceDN w:val="0"/>
        <w:adjustRightInd w:val="0"/>
        <w:spacing w:line="360" w:lineRule="auto"/>
        <w:ind w:left="960" w:leftChars="400" w:firstLine="1124" w:firstLineChars="400"/>
        <w:rPr>
          <w:rFonts w:hint="eastAsia" w:ascii="宋体" w:hAnsi="宋体" w:eastAsia="宋体" w:cs="宋体"/>
          <w:b/>
          <w:bCs/>
          <w:sz w:val="28"/>
          <w:highlight w:val="none"/>
          <w:u w:val="single"/>
          <w:lang w:val="zh-CN"/>
        </w:rPr>
      </w:pPr>
      <w:r>
        <w:rPr>
          <w:rFonts w:hint="eastAsia" w:ascii="宋体" w:hAnsi="宋体" w:eastAsia="宋体" w:cs="宋体"/>
          <w:b/>
          <w:bCs/>
          <w:sz w:val="28"/>
          <w:highlight w:val="none"/>
        </w:rPr>
        <w:t xml:space="preserve">采   购   </w:t>
      </w:r>
      <w:r>
        <w:rPr>
          <w:rFonts w:hint="eastAsia" w:ascii="宋体" w:hAnsi="宋体" w:eastAsia="宋体" w:cs="宋体"/>
          <w:b/>
          <w:bCs/>
          <w:sz w:val="28"/>
          <w:highlight w:val="none"/>
          <w:lang w:val="zh-CN"/>
        </w:rPr>
        <w:t>人：</w:t>
      </w:r>
      <w:r>
        <w:rPr>
          <w:rFonts w:hint="eastAsia" w:cs="宋体"/>
          <w:b/>
          <w:bCs/>
          <w:sz w:val="28"/>
          <w:highlight w:val="none"/>
          <w:lang w:val="zh-CN"/>
        </w:rPr>
        <w:t>菏泽职业学院</w:t>
      </w:r>
    </w:p>
    <w:p>
      <w:pPr>
        <w:autoSpaceDE w:val="0"/>
        <w:autoSpaceDN w:val="0"/>
        <w:adjustRightInd w:val="0"/>
        <w:spacing w:line="360" w:lineRule="auto"/>
        <w:ind w:left="960" w:leftChars="400" w:firstLine="1124" w:firstLineChars="400"/>
        <w:rPr>
          <w:rFonts w:hint="eastAsia" w:ascii="宋体" w:hAnsi="宋体" w:eastAsia="宋体" w:cs="宋体"/>
          <w:b/>
          <w:bCs/>
          <w:sz w:val="28"/>
          <w:szCs w:val="22"/>
          <w:highlight w:val="none"/>
          <w:lang w:val="zh-CN"/>
        </w:rPr>
      </w:pPr>
      <w:r>
        <w:rPr>
          <w:rFonts w:hint="eastAsia" w:ascii="宋体" w:hAnsi="宋体" w:eastAsia="宋体" w:cs="宋体"/>
          <w:b/>
          <w:bCs/>
          <w:sz w:val="28"/>
          <w:szCs w:val="22"/>
          <w:highlight w:val="none"/>
          <w:lang w:val="zh-CN"/>
        </w:rPr>
        <w:t>采购代理机构</w:t>
      </w:r>
      <w:r>
        <w:rPr>
          <w:rFonts w:hint="eastAsia" w:ascii="宋体" w:hAnsi="宋体" w:eastAsia="宋体" w:cs="宋体"/>
          <w:b/>
          <w:bCs/>
          <w:sz w:val="32"/>
          <w:highlight w:val="none"/>
          <w:lang w:val="zh-CN"/>
        </w:rPr>
        <w:t>：</w:t>
      </w:r>
      <w:r>
        <w:rPr>
          <w:rFonts w:hint="eastAsia" w:ascii="宋体" w:hAnsi="宋体" w:eastAsia="宋体" w:cs="宋体"/>
          <w:b/>
          <w:bCs/>
          <w:sz w:val="28"/>
          <w:highlight w:val="none"/>
          <w:lang w:val="zh-CN"/>
        </w:rPr>
        <w:t>泰安市建科建设项目管理有限公司</w:t>
      </w:r>
    </w:p>
    <w:p>
      <w:pPr>
        <w:autoSpaceDE w:val="0"/>
        <w:autoSpaceDN w:val="0"/>
        <w:adjustRightInd w:val="0"/>
        <w:spacing w:line="360" w:lineRule="auto"/>
        <w:ind w:left="960" w:leftChars="400" w:firstLine="1124" w:firstLineChars="400"/>
        <w:rPr>
          <w:rFonts w:hint="eastAsia" w:ascii="宋体" w:hAnsi="宋体" w:eastAsia="宋体" w:cs="宋体"/>
          <w:b/>
          <w:bCs/>
          <w:sz w:val="28"/>
          <w:highlight w:val="none"/>
        </w:rPr>
        <w:sectPr>
          <w:headerReference r:id="rId6" w:type="first"/>
          <w:headerReference r:id="rId5" w:type="default"/>
          <w:footerReference r:id="rId7" w:type="default"/>
          <w:pgSz w:w="11906" w:h="16838"/>
          <w:pgMar w:top="1440" w:right="1417" w:bottom="1440" w:left="1417" w:header="851" w:footer="1040" w:gutter="0"/>
          <w:cols w:space="720" w:num="1"/>
          <w:docGrid w:type="lines" w:linePitch="312" w:charSpace="0"/>
        </w:sectPr>
      </w:pPr>
      <w:r>
        <w:rPr>
          <w:rFonts w:hint="eastAsia" w:ascii="宋体" w:hAnsi="宋体" w:eastAsia="宋体" w:cs="宋体"/>
          <w:b/>
          <w:bCs/>
          <w:sz w:val="28"/>
          <w:highlight w:val="none"/>
        </w:rPr>
        <w:t>日        期：二〇二</w:t>
      </w:r>
      <w:r>
        <w:rPr>
          <w:rFonts w:hint="eastAsia" w:cs="宋体"/>
          <w:b/>
          <w:bCs/>
          <w:sz w:val="28"/>
          <w:highlight w:val="none"/>
          <w:lang w:val="en-US" w:eastAsia="zh-CN"/>
        </w:rPr>
        <w:t>二</w:t>
      </w:r>
      <w:r>
        <w:rPr>
          <w:rFonts w:hint="eastAsia" w:ascii="宋体" w:hAnsi="宋体" w:eastAsia="宋体" w:cs="宋体"/>
          <w:b/>
          <w:bCs/>
          <w:sz w:val="28"/>
          <w:highlight w:val="none"/>
        </w:rPr>
        <w:t>年</w:t>
      </w:r>
      <w:r>
        <w:rPr>
          <w:rFonts w:hint="eastAsia" w:cs="宋体"/>
          <w:b/>
          <w:bCs/>
          <w:sz w:val="28"/>
          <w:highlight w:val="none"/>
          <w:lang w:val="en-US" w:eastAsia="zh-CN"/>
        </w:rPr>
        <w:t>十一</w:t>
      </w:r>
      <w:r>
        <w:rPr>
          <w:rFonts w:hint="eastAsia" w:ascii="宋体" w:hAnsi="宋体" w:eastAsia="宋体" w:cs="宋体"/>
          <w:b/>
          <w:bCs/>
          <w:sz w:val="28"/>
          <w:highlight w:val="none"/>
        </w:rPr>
        <w:t>月</w:t>
      </w:r>
    </w:p>
    <w:p>
      <w:pPr>
        <w:spacing w:line="360" w:lineRule="auto"/>
        <w:jc w:val="center"/>
        <w:rPr>
          <w:rFonts w:hint="eastAsia" w:ascii="宋体" w:hAnsi="宋体" w:eastAsia="宋体" w:cs="宋体"/>
          <w:sz w:val="32"/>
          <w:szCs w:val="40"/>
          <w:highlight w:val="none"/>
        </w:rPr>
      </w:pPr>
    </w:p>
    <w:sdt>
      <w:sdtPr>
        <w:rPr>
          <w:rFonts w:hint="eastAsia" w:ascii="宋体" w:hAnsi="宋体" w:eastAsia="宋体" w:cs="宋体"/>
          <w:sz w:val="22"/>
          <w:szCs w:val="28"/>
          <w:highlight w:val="none"/>
        </w:rPr>
        <w:id w:val="147469756"/>
        <w:docPartObj>
          <w:docPartGallery w:val="Table of Contents"/>
          <w:docPartUnique/>
        </w:docPartObj>
      </w:sdtPr>
      <w:sdtEndPr>
        <w:rPr>
          <w:rFonts w:hint="eastAsia" w:ascii="宋体" w:hAnsi="宋体" w:eastAsia="宋体" w:cs="宋体"/>
          <w:bCs/>
          <w:sz w:val="21"/>
          <w:szCs w:val="36"/>
          <w:highlight w:val="none"/>
        </w:rPr>
      </w:sdtEndPr>
      <w:sdtContent>
        <w:p>
          <w:pPr>
            <w:spacing w:line="360" w:lineRule="auto"/>
            <w:jc w:val="center"/>
            <w:rPr>
              <w:rFonts w:hint="eastAsia" w:ascii="宋体" w:hAnsi="宋体" w:eastAsia="宋体" w:cs="宋体"/>
              <w:sz w:val="22"/>
              <w:szCs w:val="28"/>
              <w:highlight w:val="none"/>
            </w:rPr>
          </w:pPr>
          <w:r>
            <w:rPr>
              <w:rFonts w:hint="eastAsia" w:ascii="宋体" w:hAnsi="宋体" w:eastAsia="宋体" w:cs="宋体"/>
              <w:sz w:val="22"/>
              <w:szCs w:val="28"/>
              <w:highlight w:val="none"/>
            </w:rPr>
            <w:t>目录</w:t>
          </w:r>
        </w:p>
        <w:p>
          <w:pPr>
            <w:pStyle w:val="17"/>
            <w:tabs>
              <w:tab w:val="right" w:leader="dot" w:pos="10070"/>
            </w:tabs>
            <w:spacing w:line="360" w:lineRule="auto"/>
            <w:rPr>
              <w:rFonts w:hint="eastAsia" w:ascii="宋体" w:hAnsi="宋体" w:eastAsia="宋体" w:cs="宋体"/>
              <w:highlight w:val="none"/>
            </w:rPr>
          </w:pPr>
          <w:r>
            <w:rPr>
              <w:rFonts w:hint="eastAsia" w:ascii="宋体" w:hAnsi="宋体" w:eastAsia="宋体" w:cs="宋体"/>
              <w:b/>
              <w:bCs/>
              <w:szCs w:val="40"/>
              <w:highlight w:val="none"/>
            </w:rPr>
            <w:fldChar w:fldCharType="begin"/>
          </w:r>
          <w:r>
            <w:rPr>
              <w:rFonts w:hint="eastAsia" w:ascii="宋体" w:hAnsi="宋体" w:eastAsia="宋体" w:cs="宋体"/>
              <w:b/>
              <w:bCs/>
              <w:szCs w:val="40"/>
              <w:highlight w:val="none"/>
            </w:rPr>
            <w:instrText xml:space="preserve">TOC \o "1-1" \h \u </w:instrText>
          </w:r>
          <w:r>
            <w:rPr>
              <w:rFonts w:hint="eastAsia" w:ascii="宋体" w:hAnsi="宋体" w:eastAsia="宋体" w:cs="宋体"/>
              <w:b/>
              <w:bCs/>
              <w:szCs w:val="4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"_Toc20454" </w:instrText>
          </w:r>
          <w:r>
            <w:rPr>
              <w:rFonts w:hint="eastAsia" w:ascii="宋体" w:hAnsi="宋体" w:eastAsia="宋体" w:cs="宋体"/>
              <w:highlight w:val="none"/>
            </w:rPr>
            <w:fldChar w:fldCharType="separate"/>
          </w:r>
          <w:r>
            <w:rPr>
              <w:rFonts w:hint="eastAsia" w:ascii="宋体" w:hAnsi="宋体" w:eastAsia="宋体" w:cs="宋体"/>
              <w:highlight w:val="none"/>
            </w:rPr>
            <w:t>第一章 竞争性磋商公告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_Toc20454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7"/>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"_Toc20132"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第二章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_Toc20132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7"/>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"_Toc11721"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第三章 竞争性磋商办法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_Toc11721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7"/>
            <w:tabs>
              <w:tab w:val="right" w:leader="dot" w:pos="10070"/>
            </w:tabs>
            <w:spacing w:line="360" w:lineRule="auto"/>
            <w:rPr>
              <w:rFonts w:hint="eastAsia" w:ascii="宋体" w:hAnsi="宋体" w:eastAsia="宋体" w:cs="宋体"/>
              <w:bCs/>
              <w:szCs w:val="4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"_Toc20911"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第四章 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_Toc20911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7"/>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"_Toc26539" </w:instrText>
          </w:r>
          <w:r>
            <w:rPr>
              <w:rFonts w:hint="eastAsia" w:ascii="宋体" w:hAnsi="宋体" w:eastAsia="宋体" w:cs="宋体"/>
              <w:highlight w:val="none"/>
            </w:rPr>
            <w:fldChar w:fldCharType="separate"/>
          </w:r>
          <w:r>
            <w:rPr>
              <w:rStyle w:val="26"/>
              <w:rFonts w:hint="eastAsia" w:ascii="宋体" w:hAnsi="宋体" w:eastAsia="宋体" w:cs="宋体"/>
              <w:szCs w:val="36"/>
              <w:highlight w:val="none"/>
            </w:rPr>
            <w:t>第五章 项目技术服务内容及工作量清单</w:t>
          </w:r>
          <w:r>
            <w:rPr>
              <w:rStyle w:val="26"/>
              <w:rFonts w:hint="eastAsia" w:ascii="宋体" w:hAnsi="宋体" w:eastAsia="宋体" w:cs="宋体"/>
              <w:highlight w:val="none"/>
            </w:rPr>
            <w:tab/>
          </w:r>
          <w:r>
            <w:rPr>
              <w:rStyle w:val="26"/>
              <w:rFonts w:hint="eastAsia" w:ascii="宋体" w:hAnsi="宋体" w:eastAsia="宋体" w:cs="宋体"/>
              <w:highlight w:val="none"/>
            </w:rPr>
            <w:t>29</w:t>
          </w:r>
          <w:r>
            <w:rPr>
              <w:rStyle w:val="26"/>
              <w:rFonts w:hint="eastAsia" w:ascii="宋体" w:hAnsi="宋体" w:eastAsia="宋体" w:cs="宋体"/>
              <w:highlight w:val="none"/>
            </w:rPr>
            <w:fldChar w:fldCharType="end"/>
          </w:r>
        </w:p>
        <w:p>
          <w:pPr>
            <w:pStyle w:val="17"/>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"_Toc26539"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第六章 响应文件格式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_Toc26539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spacing w:line="360" w:lineRule="auto"/>
            <w:jc w:val="center"/>
            <w:rPr>
              <w:rFonts w:hint="eastAsia" w:ascii="宋体" w:hAnsi="宋体" w:eastAsia="宋体" w:cs="宋体"/>
              <w:b/>
              <w:bCs/>
              <w:szCs w:val="36"/>
              <w:highlight w:val="none"/>
            </w:rPr>
          </w:pPr>
          <w:r>
            <w:rPr>
              <w:rFonts w:hint="eastAsia" w:ascii="宋体" w:hAnsi="宋体" w:eastAsia="宋体" w:cs="宋体"/>
              <w:bCs/>
              <w:szCs w:val="40"/>
              <w:highlight w:val="none"/>
            </w:rPr>
            <w:fldChar w:fldCharType="end"/>
          </w:r>
        </w:p>
      </w:sdtContent>
    </w:sdt>
    <w:p>
      <w:pPr>
        <w:pStyle w:val="5"/>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pStyle w:val="19"/>
        <w:rPr>
          <w:rFonts w:hint="eastAsia" w:ascii="宋体" w:hAnsi="宋体" w:eastAsia="宋体" w:cs="宋体"/>
          <w:b/>
          <w:bCs/>
          <w:szCs w:val="36"/>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6"/>
        <w:numPr>
          <w:ilvl w:val="0"/>
          <w:numId w:val="2"/>
        </w:numPr>
        <w:spacing w:beforeLines="50" w:afterLines="50"/>
        <w:rPr>
          <w:rFonts w:hint="eastAsia" w:ascii="宋体" w:hAnsi="宋体" w:eastAsia="宋体" w:cs="宋体"/>
          <w:highlight w:val="none"/>
        </w:rPr>
        <w:sectPr>
          <w:pgSz w:w="11910" w:h="16840"/>
          <w:pgMar w:top="1520" w:right="680" w:bottom="1420" w:left="1160" w:header="0" w:footer="1214" w:gutter="0"/>
          <w:cols w:space="720" w:num="1"/>
        </w:sectPr>
      </w:pPr>
      <w:bookmarkStart w:id="0" w:name="_Toc16676"/>
      <w:bookmarkStart w:id="1" w:name="_Toc16024"/>
      <w:bookmarkStart w:id="2" w:name="_Toc8726"/>
    </w:p>
    <w:p>
      <w:pPr>
        <w:pStyle w:val="6"/>
        <w:numPr>
          <w:ilvl w:val="0"/>
          <w:numId w:val="2"/>
        </w:numPr>
        <w:spacing w:beforeLines="50" w:afterLines="50" w:line="360" w:lineRule="auto"/>
        <w:rPr>
          <w:rFonts w:hint="eastAsia" w:ascii="宋体" w:hAnsi="宋体" w:eastAsia="宋体" w:cs="宋体"/>
          <w:highlight w:val="none"/>
        </w:rPr>
      </w:pPr>
      <w:bookmarkStart w:id="3" w:name="_Toc20454"/>
      <w:r>
        <w:rPr>
          <w:rFonts w:hint="eastAsia" w:ascii="宋体" w:hAnsi="宋体" w:eastAsia="宋体" w:cs="宋体"/>
          <w:highlight w:val="none"/>
        </w:rPr>
        <w:t>竞争性磋商公告</w:t>
      </w:r>
      <w:bookmarkEnd w:id="0"/>
      <w:bookmarkEnd w:id="1"/>
      <w:bookmarkEnd w:id="2"/>
      <w:bookmarkEnd w:id="3"/>
    </w:p>
    <w:p>
      <w:pPr>
        <w:spacing w:line="408" w:lineRule="auto"/>
        <w:ind w:firstLine="410" w:firstLineChars="171"/>
        <w:rPr>
          <w:rFonts w:hint="eastAsia" w:cs="宋体"/>
          <w:b w:val="0"/>
          <w:bCs/>
          <w:kern w:val="0"/>
          <w:sz w:val="24"/>
          <w:szCs w:val="24"/>
          <w:highlight w:val="none"/>
          <w:lang w:val="en-US" w:eastAsia="zh-CN"/>
        </w:rPr>
      </w:pPr>
      <w:r>
        <w:rPr>
          <w:rFonts w:hint="eastAsia" w:cs="宋体"/>
          <w:b w:val="0"/>
          <w:bCs/>
          <w:kern w:val="0"/>
          <w:sz w:val="24"/>
          <w:szCs w:val="24"/>
          <w:highlight w:val="none"/>
          <w:lang w:val="en-US" w:eastAsia="zh-CN"/>
        </w:rPr>
        <w:t>项目概况：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76" w:type="dxa"/>
          </w:tcPr>
          <w:p>
            <w:pPr>
              <w:spacing w:line="408" w:lineRule="auto"/>
              <w:ind w:firstLine="410" w:firstLineChars="171"/>
              <w:rPr>
                <w:rFonts w:hint="eastAsia" w:ascii="宋体" w:hAnsi="宋体" w:eastAsia="宋体" w:cs="宋体"/>
                <w:sz w:val="22"/>
                <w:szCs w:val="22"/>
                <w:highlight w:val="none"/>
              </w:rPr>
            </w:pPr>
            <w:r>
              <w:rPr>
                <w:rFonts w:hint="eastAsia" w:cs="宋体"/>
                <w:b w:val="0"/>
                <w:bCs/>
                <w:kern w:val="0"/>
                <w:sz w:val="24"/>
                <w:szCs w:val="24"/>
                <w:highlight w:val="none"/>
                <w:lang w:val="en-US" w:eastAsia="zh-CN"/>
              </w:rPr>
              <w:t>菏泽职业学院校园正版化服务项目</w:t>
            </w:r>
            <w:r>
              <w:rPr>
                <w:rFonts w:hint="eastAsia" w:ascii="宋体" w:hAnsi="宋体" w:eastAsia="宋体" w:cs="宋体"/>
                <w:b w:val="0"/>
                <w:bCs/>
                <w:kern w:val="0"/>
                <w:sz w:val="24"/>
                <w:szCs w:val="24"/>
                <w:highlight w:val="none"/>
                <w:lang w:val="en-US" w:eastAsia="zh-CN"/>
              </w:rPr>
              <w:t>的潜在供应商请登录山东省政府采购网、菏泽市政府采购公共服务平台、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赢标电子招投标交易平台http://hz.fzbidding.com/home获取采购文件，并于2022年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24</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14</w:t>
            </w:r>
            <w:r>
              <w:rPr>
                <w:rFonts w:hint="eastAsia" w:ascii="宋体" w:hAnsi="宋体" w:eastAsia="宋体" w:cs="宋体"/>
                <w:b w:val="0"/>
                <w:bCs/>
                <w:kern w:val="0"/>
                <w:sz w:val="24"/>
                <w:szCs w:val="24"/>
                <w:highlight w:val="none"/>
                <w:lang w:val="en-US" w:eastAsia="zh-CN"/>
              </w:rPr>
              <w:t>:30分（北京时间）前提交响应文件。</w:t>
            </w:r>
          </w:p>
        </w:tc>
      </w:tr>
    </w:tbl>
    <w:p>
      <w:pPr>
        <w:spacing w:line="408"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一、项目基本情况：</w:t>
      </w:r>
      <w:r>
        <w:rPr>
          <w:rFonts w:hint="eastAsia" w:ascii="宋体" w:hAnsi="宋体" w:eastAsia="宋体" w:cs="宋体"/>
          <w:sz w:val="22"/>
          <w:szCs w:val="22"/>
          <w:highlight w:val="none"/>
        </w:rPr>
        <w:tab/>
      </w:r>
    </w:p>
    <w:p>
      <w:pPr>
        <w:keepNext w:val="0"/>
        <w:keepLines w:val="0"/>
        <w:pageBreakBefore w:val="0"/>
        <w:widowControl w:val="0"/>
        <w:kinsoku/>
        <w:wordWrap/>
        <w:overflowPunct/>
        <w:topLinePunct w:val="0"/>
        <w:autoSpaceDE/>
        <w:autoSpaceDN/>
        <w:bidi w:val="0"/>
        <w:adjustRightInd/>
        <w:snapToGrid/>
        <w:spacing w:line="384" w:lineRule="auto"/>
        <w:ind w:left="480" w:hanging="440" w:hangingChars="200"/>
        <w:textAlignment w:val="auto"/>
        <w:rPr>
          <w:rFonts w:hint="default" w:ascii="宋体" w:hAnsi="宋体" w:eastAsia="宋体" w:cs="宋体"/>
          <w:b w:val="0"/>
          <w:bCs/>
          <w:kern w:val="0"/>
          <w:sz w:val="24"/>
          <w:szCs w:val="24"/>
          <w:highlight w:val="yellow"/>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 xml:space="preserve">  </w:t>
      </w:r>
      <w:r>
        <w:rPr>
          <w:rFonts w:hint="eastAsia" w:ascii="宋体" w:hAnsi="宋体" w:eastAsia="宋体" w:cs="宋体"/>
          <w:b w:val="0"/>
          <w:bCs/>
          <w:kern w:val="0"/>
          <w:sz w:val="24"/>
          <w:szCs w:val="24"/>
          <w:highlight w:val="none"/>
          <w:lang w:val="en-US" w:eastAsia="zh-CN"/>
        </w:rPr>
        <w:t>项目名称：</w:t>
      </w:r>
      <w:r>
        <w:rPr>
          <w:rFonts w:hint="eastAsia" w:cs="宋体"/>
          <w:b w:val="0"/>
          <w:bCs/>
          <w:kern w:val="0"/>
          <w:sz w:val="24"/>
          <w:szCs w:val="24"/>
          <w:highlight w:val="none"/>
          <w:lang w:val="en-US" w:eastAsia="zh-CN"/>
        </w:rPr>
        <w:t>菏泽职业学院校园正版化服务项目</w:t>
      </w:r>
      <w:r>
        <w:rPr>
          <w:rFonts w:hint="eastAsia" w:ascii="宋体" w:hAnsi="宋体" w:eastAsia="宋体" w:cs="宋体"/>
          <w:b w:val="0"/>
          <w:bCs/>
          <w:kern w:val="0"/>
          <w:sz w:val="24"/>
          <w:szCs w:val="24"/>
          <w:highlight w:val="none"/>
          <w:lang w:val="en-US" w:eastAsia="zh-CN"/>
        </w:rPr>
        <w:br w:type="textWrapping"/>
      </w:r>
      <w:r>
        <w:rPr>
          <w:rFonts w:hint="eastAsia" w:ascii="宋体" w:hAnsi="宋体" w:eastAsia="宋体" w:cs="宋体"/>
          <w:b w:val="0"/>
          <w:bCs/>
          <w:kern w:val="0"/>
          <w:sz w:val="24"/>
          <w:szCs w:val="24"/>
          <w:highlight w:val="none"/>
          <w:lang w:val="en-US" w:eastAsia="zh-CN"/>
        </w:rPr>
        <w:t>项目编号：SDGP371700000202202000272</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预算金额：</w:t>
      </w:r>
      <w:r>
        <w:rPr>
          <w:rFonts w:hint="eastAsia" w:cs="宋体"/>
          <w:b w:val="0"/>
          <w:bCs/>
          <w:kern w:val="0"/>
          <w:sz w:val="24"/>
          <w:szCs w:val="24"/>
          <w:highlight w:val="none"/>
          <w:lang w:val="en-US" w:eastAsia="zh-CN"/>
        </w:rPr>
        <w:t>23万元</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最高限价：</w:t>
      </w:r>
      <w:r>
        <w:rPr>
          <w:rFonts w:hint="eastAsia" w:cs="宋体"/>
          <w:b w:val="0"/>
          <w:bCs/>
          <w:kern w:val="0"/>
          <w:sz w:val="24"/>
          <w:szCs w:val="24"/>
          <w:highlight w:val="none"/>
          <w:lang w:val="en-US" w:eastAsia="zh-CN"/>
        </w:rPr>
        <w:t>23万元</w:t>
      </w:r>
      <w:r>
        <w:rPr>
          <w:rFonts w:hint="eastAsia" w:ascii="宋体" w:hAnsi="宋体" w:eastAsia="宋体" w:cs="宋体"/>
          <w:b w:val="0"/>
          <w:bCs/>
          <w:kern w:val="0"/>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采购需求：</w:t>
      </w:r>
      <w:r>
        <w:rPr>
          <w:rFonts w:hint="eastAsia" w:ascii="宋体" w:hAnsi="宋体" w:eastAsia="宋体" w:cs="宋体"/>
          <w:b w:val="0"/>
          <w:bCs/>
          <w:kern w:val="0"/>
          <w:sz w:val="24"/>
          <w:szCs w:val="24"/>
          <w:highlight w:val="none"/>
          <w:lang w:val="en-US" w:eastAsia="zh-CN"/>
        </w:rPr>
        <w:tab/>
      </w:r>
    </w:p>
    <w:tbl>
      <w:tblPr>
        <w:tblStyle w:val="2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010"/>
        <w:gridCol w:w="715"/>
        <w:gridCol w:w="594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594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本包预算金额（单位：万元）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校园正版化服务</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945" w:type="dxa"/>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潜在供应商须在中华人民共和国境内注册，具有独立</w:t>
            </w:r>
            <w:r>
              <w:rPr>
                <w:rFonts w:hint="eastAsia" w:cs="宋体"/>
                <w:sz w:val="24"/>
                <w:szCs w:val="24"/>
                <w:highlight w:val="none"/>
                <w:lang w:val="en-US" w:eastAsia="zh-CN"/>
              </w:rPr>
              <w:t>承担民事责任的能力</w:t>
            </w:r>
            <w:r>
              <w:rPr>
                <w:rFonts w:hint="eastAsia" w:ascii="宋体" w:hAnsi="宋体" w:eastAsia="宋体" w:cs="宋体"/>
                <w:sz w:val="24"/>
                <w:szCs w:val="24"/>
                <w:highlight w:val="none"/>
              </w:rPr>
              <w:t>，并符合《中华人民共和国政府采购法》第二十二条规定；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潜在供应商须具有有效的营业执照，具有履行合同所必须设备和专业技术能力，并能提供优质的服务；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在“信用中国”网（www.creditchina.gov.cn）中未被列入失信被执行人、重大税收违法失信主体、政府采购严重违法失信行为记录名单及在中国政府采购网（www.ccgp.gov.cn）中未被列入政府采购严重违法失信行为记录名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潜在供应商参加本次采购活动前三年内，在经营活动中没有重大违法记录；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财政部、工业和信息化部关于印发《政府采购促进中小企业发展管理办法》的通知（财库〔2020〕46号）要求，本项目专门面向中小企业采购，不再享受评审价格扣除政策，供应商必须出具《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6.本项目资格后审，不接受联合体投标。 </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23万元</w:t>
            </w:r>
          </w:p>
        </w:tc>
      </w:tr>
    </w:tbl>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合同履行期限：</w:t>
      </w:r>
      <w:r>
        <w:rPr>
          <w:rFonts w:hint="eastAsia" w:cs="宋体"/>
          <w:b w:val="0"/>
          <w:bCs/>
          <w:kern w:val="0"/>
          <w:sz w:val="24"/>
          <w:szCs w:val="24"/>
          <w:highlight w:val="none"/>
          <w:lang w:val="en-US" w:eastAsia="zh-CN"/>
        </w:rPr>
        <w:t>供货期：</w:t>
      </w:r>
      <w:r>
        <w:rPr>
          <w:rFonts w:hint="eastAsia" w:ascii="宋体" w:hAnsi="宋体" w:eastAsia="宋体" w:cs="宋体"/>
          <w:b w:val="0"/>
          <w:bCs/>
          <w:kern w:val="0"/>
          <w:sz w:val="24"/>
          <w:szCs w:val="24"/>
          <w:highlight w:val="none"/>
          <w:lang w:val="en-US" w:eastAsia="zh-CN"/>
        </w:rPr>
        <w:t>合同签订完成后，2周内安装调试完毕</w:t>
      </w:r>
      <w:r>
        <w:rPr>
          <w:rFonts w:hint="eastAsia" w:cs="宋体"/>
          <w:b w:val="0"/>
          <w:bCs/>
          <w:kern w:val="0"/>
          <w:sz w:val="24"/>
          <w:szCs w:val="24"/>
          <w:highlight w:val="none"/>
          <w:lang w:val="en-US" w:eastAsia="zh-CN"/>
        </w:rPr>
        <w:t>；服务期限：1年。</w:t>
      </w:r>
    </w:p>
    <w:p>
      <w:pPr>
        <w:keepNext w:val="0"/>
        <w:keepLines w:val="0"/>
        <w:pageBreakBefore w:val="0"/>
        <w:widowControl w:val="0"/>
        <w:kinsoku/>
        <w:wordWrap/>
        <w:overflowPunct/>
        <w:topLinePunct w:val="0"/>
        <w:autoSpaceDE/>
        <w:autoSpaceDN/>
        <w:bidi w:val="0"/>
        <w:adjustRightInd/>
        <w:snapToGrid/>
        <w:spacing w:line="384" w:lineRule="auto"/>
        <w:ind w:left="0" w:leftChars="0" w:firstLine="240" w:firstLineChars="1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本项目不接受联合体投标。</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二、申请人的资格要求：</w:t>
      </w:r>
      <w:r>
        <w:rPr>
          <w:rFonts w:hint="eastAsia" w:ascii="宋体" w:hAnsi="宋体" w:eastAsia="宋体" w:cs="宋体"/>
          <w:b/>
          <w:bCs w:val="0"/>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1、满足《中华人民共和国政府采购法》第二十二条规定；</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2、落实政府采购政策需满足的资格要求：详按照财政部、工业和信息化部关于印发《政府采购促进中小企业发展管理办法》的通知（财库〔2020〕46号）要求，本项目专门面向中小企业采购； </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3、本项目的特定资格要求：详见竞争性磋商文件</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三、获取采购文件：</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1.时间：2022年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03</w:t>
      </w:r>
      <w:r>
        <w:rPr>
          <w:rFonts w:hint="eastAsia" w:ascii="宋体" w:hAnsi="宋体" w:eastAsia="宋体" w:cs="宋体"/>
          <w:b w:val="0"/>
          <w:bCs/>
          <w:kern w:val="0"/>
          <w:sz w:val="24"/>
          <w:szCs w:val="24"/>
          <w:highlight w:val="none"/>
          <w:lang w:val="en-US" w:eastAsia="zh-CN"/>
        </w:rPr>
        <w:t>日8时00分至2022年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09</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17</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分（北京时间，法定节假日除外）</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2.地点：中国山东政府采购网、菏泽市政府采购公共服务平台、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赢标电子招标采购交易平台（菏泽专区）（http://hz.fzbidding.com）</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3.方式：①潜在供应商需在</w:t>
      </w:r>
      <w:r>
        <w:rPr>
          <w:rFonts w:hint="eastAsia" w:ascii="宋体" w:hAnsi="宋体" w:eastAsia="宋体" w:cs="宋体"/>
          <w:b w:val="0"/>
          <w:bCs/>
          <w:color w:val="auto"/>
          <w:kern w:val="0"/>
          <w:sz w:val="24"/>
          <w:szCs w:val="24"/>
          <w:highlight w:val="none"/>
          <w:lang w:val="en-US" w:eastAsia="zh-CN"/>
        </w:rPr>
        <w:t>(2022年</w:t>
      </w:r>
      <w:r>
        <w:rPr>
          <w:rFonts w:hint="eastAsia"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月</w:t>
      </w:r>
      <w:r>
        <w:rPr>
          <w:rFonts w:hint="eastAsia" w:cs="宋体"/>
          <w:b w:val="0"/>
          <w:bCs/>
          <w:color w:val="auto"/>
          <w:kern w:val="0"/>
          <w:sz w:val="24"/>
          <w:szCs w:val="24"/>
          <w:highlight w:val="none"/>
          <w:lang w:val="en-US" w:eastAsia="zh-CN"/>
        </w:rPr>
        <w:t>03</w:t>
      </w:r>
      <w:r>
        <w:rPr>
          <w:rFonts w:hint="eastAsia" w:ascii="宋体" w:hAnsi="宋体" w:eastAsia="宋体" w:cs="宋体"/>
          <w:b w:val="0"/>
          <w:bCs/>
          <w:color w:val="auto"/>
          <w:kern w:val="0"/>
          <w:sz w:val="24"/>
          <w:szCs w:val="24"/>
          <w:highlight w:val="none"/>
          <w:lang w:val="en-US" w:eastAsia="zh-CN"/>
        </w:rPr>
        <w:t>日8时00分至2022年</w:t>
      </w:r>
      <w:r>
        <w:rPr>
          <w:rFonts w:hint="eastAsia"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月</w:t>
      </w:r>
      <w:r>
        <w:rPr>
          <w:rFonts w:hint="eastAsia" w:cs="宋体"/>
          <w:b w:val="0"/>
          <w:bCs/>
          <w:color w:val="auto"/>
          <w:kern w:val="0"/>
          <w:sz w:val="24"/>
          <w:szCs w:val="24"/>
          <w:highlight w:val="none"/>
          <w:lang w:val="en-US" w:eastAsia="zh-CN"/>
        </w:rPr>
        <w:t>09</w:t>
      </w:r>
      <w:r>
        <w:rPr>
          <w:rFonts w:hint="eastAsia" w:ascii="宋体" w:hAnsi="宋体" w:eastAsia="宋体" w:cs="宋体"/>
          <w:b w:val="0"/>
          <w:bCs/>
          <w:color w:val="auto"/>
          <w:kern w:val="0"/>
          <w:sz w:val="24"/>
          <w:szCs w:val="24"/>
          <w:highlight w:val="none"/>
          <w:lang w:val="en-US" w:eastAsia="zh-CN"/>
        </w:rPr>
        <w:t>日</w:t>
      </w:r>
      <w:r>
        <w:rPr>
          <w:rFonts w:hint="eastAsia"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lang w:val="en-US" w:eastAsia="zh-CN"/>
        </w:rPr>
        <w:t>时</w:t>
      </w:r>
      <w:r>
        <w:rPr>
          <w:rFonts w:hint="eastAsia" w:cs="宋体"/>
          <w:b w:val="0"/>
          <w:bCs/>
          <w:color w:val="auto"/>
          <w:kern w:val="0"/>
          <w:sz w:val="24"/>
          <w:szCs w:val="24"/>
          <w:highlight w:val="none"/>
          <w:lang w:val="en-US" w:eastAsia="zh-CN"/>
        </w:rPr>
        <w:t>30</w:t>
      </w:r>
      <w:r>
        <w:rPr>
          <w:rFonts w:hint="eastAsia" w:ascii="宋体" w:hAnsi="宋体" w:eastAsia="宋体" w:cs="宋体"/>
          <w:b w:val="0"/>
          <w:bCs/>
          <w:color w:val="auto"/>
          <w:kern w:val="0"/>
          <w:sz w:val="24"/>
          <w:szCs w:val="24"/>
          <w:highlight w:val="none"/>
          <w:lang w:val="en-US" w:eastAsia="zh-CN"/>
        </w:rPr>
        <w:t>分，北京时间）中国山东政府采购</w:t>
      </w:r>
      <w:r>
        <w:rPr>
          <w:rFonts w:hint="eastAsia" w:ascii="宋体" w:hAnsi="宋体" w:eastAsia="宋体" w:cs="宋体"/>
          <w:b w:val="0"/>
          <w:bCs/>
          <w:kern w:val="0"/>
          <w:sz w:val="24"/>
          <w:szCs w:val="24"/>
          <w:highlight w:val="none"/>
          <w:lang w:val="en-US" w:eastAsia="zh-CN"/>
        </w:rPr>
        <w:t>网+赢标电子招标采购交易平台（菏泽专区）（http://hz.fzbidding.com）进行网上注册并备案，截止时间前未在上述网站注册的或者只注册未进行网上备案的供应商不具备参与本项目的投标资格。②潜在供应商还须在采购文件规定的时限内登录赢标电子招标采购交易平台（菏泽专区）（http://hz.fzbidding.com）下载电子版竞争性磋商文件，逾期未下载造成本项目采购活动无法参加，后果自负。③关于本项目的变更、修改、澄清、补充内容及对项目的暂停、延期通知等情况均在发布</w:t>
      </w:r>
      <w:r>
        <w:rPr>
          <w:rFonts w:hint="eastAsia"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lang w:val="en-US" w:eastAsia="zh-CN"/>
        </w:rPr>
        <w:t>公告的媒介同时发布。</w:t>
      </w:r>
      <w:r>
        <w:rPr>
          <w:rFonts w:hint="eastAsia"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en-US" w:eastAsia="zh-CN"/>
        </w:rPr>
        <w:t>自行查阅网站信息，或于开标前向招标代理机构电话询问确认，未按要求查阅者自行承担相应后果，恕不予单独告知。</w:t>
      </w:r>
    </w:p>
    <w:p>
      <w:pPr>
        <w:spacing w:line="408" w:lineRule="auto"/>
        <w:ind w:firstLine="410" w:firstLineChars="171"/>
        <w:rPr>
          <w:rFonts w:hint="eastAsia" w:ascii="宋体" w:hAnsi="宋体" w:eastAsia="宋体" w:cs="宋体"/>
          <w:sz w:val="22"/>
          <w:szCs w:val="22"/>
          <w:highlight w:val="none"/>
        </w:rPr>
      </w:pPr>
      <w:r>
        <w:rPr>
          <w:rFonts w:hint="eastAsia" w:ascii="宋体" w:hAnsi="宋体" w:eastAsia="宋体" w:cs="宋体"/>
          <w:b w:val="0"/>
          <w:bCs/>
          <w:kern w:val="0"/>
          <w:sz w:val="24"/>
          <w:szCs w:val="24"/>
          <w:highlight w:val="none"/>
          <w:lang w:val="en-US" w:eastAsia="zh-CN"/>
        </w:rPr>
        <w:t xml:space="preserve">  4.售价：0元。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sz w:val="24"/>
          <w:szCs w:val="24"/>
          <w:highlight w:val="none"/>
        </w:rPr>
        <w:t>四、</w:t>
      </w:r>
      <w:r>
        <w:rPr>
          <w:rFonts w:hint="eastAsia" w:ascii="宋体" w:hAnsi="宋体" w:eastAsia="宋体" w:cs="宋体"/>
          <w:b/>
          <w:bCs/>
          <w:kern w:val="0"/>
          <w:sz w:val="24"/>
          <w:szCs w:val="24"/>
          <w:highlight w:val="none"/>
          <w:lang w:val="en-US" w:eastAsia="zh-CN"/>
        </w:rPr>
        <w:t>响应文件提交：</w:t>
      </w:r>
      <w:r>
        <w:rPr>
          <w:rFonts w:hint="eastAsia" w:ascii="宋体" w:hAnsi="宋体" w:eastAsia="宋体" w:cs="宋体"/>
          <w:b/>
          <w:bCs w:val="0"/>
          <w:kern w:val="0"/>
          <w:sz w:val="24"/>
          <w:szCs w:val="24"/>
          <w:highlight w:val="none"/>
          <w:lang w:val="en-US" w:eastAsia="zh-CN"/>
        </w:rPr>
        <w:t xml:space="preserve"> </w:t>
      </w:r>
    </w:p>
    <w:p>
      <w:pPr>
        <w:bidi w:val="0"/>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1.截止时间：202</w:t>
      </w:r>
      <w:r>
        <w:rPr>
          <w:rFonts w:hint="eastAsia" w:ascii="宋体" w:hAnsi="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val="en-US" w:eastAsia="zh-CN"/>
        </w:rPr>
        <w:t>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24</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14</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 xml:space="preserve">分（北京时间）  </w:t>
      </w:r>
    </w:p>
    <w:p>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b w:val="0"/>
          <w:bCs/>
          <w:kern w:val="0"/>
          <w:sz w:val="24"/>
          <w:szCs w:val="24"/>
          <w:highlight w:val="none"/>
          <w:lang w:val="en-US" w:eastAsia="zh-CN"/>
        </w:rPr>
        <w:t>2.地点：在赢标电子招标采购交易平台（菏泽专区）（http://hz.fzbidding.com）递交加密版电子响应文件</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五、开启： </w:t>
      </w:r>
    </w:p>
    <w:p>
      <w:pPr>
        <w:bidi w:val="0"/>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  1.开启时间：202</w:t>
      </w:r>
      <w:r>
        <w:rPr>
          <w:rFonts w:hint="eastAsia" w:ascii="宋体" w:hAnsi="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val="en-US" w:eastAsia="zh-CN"/>
        </w:rPr>
        <w:t>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24</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14</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 xml:space="preserve">分（北京时间）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cs="宋体"/>
          <w:b/>
          <w:bCs/>
          <w:sz w:val="24"/>
          <w:szCs w:val="24"/>
          <w:lang w:val="en-US" w:eastAsia="zh-CN"/>
        </w:rPr>
      </w:pPr>
      <w:r>
        <w:rPr>
          <w:rFonts w:hint="eastAsia" w:ascii="宋体" w:hAnsi="宋体" w:eastAsia="宋体" w:cs="宋体"/>
          <w:b w:val="0"/>
          <w:bCs/>
          <w:kern w:val="0"/>
          <w:sz w:val="24"/>
          <w:szCs w:val="24"/>
          <w:highlight w:val="none"/>
          <w:lang w:val="en-US" w:eastAsia="zh-CN"/>
        </w:rPr>
        <w:t xml:space="preserve">  2.开启地点：菏泽市公共资源（国有产权）交易中心开标</w:t>
      </w:r>
      <w:r>
        <w:rPr>
          <w:rFonts w:hint="eastAsia" w:cs="宋体"/>
          <w:b w:val="0"/>
          <w:bCs/>
          <w:kern w:val="0"/>
          <w:sz w:val="24"/>
          <w:szCs w:val="24"/>
          <w:highlight w:val="none"/>
          <w:lang w:val="en-US" w:eastAsia="zh-CN"/>
        </w:rPr>
        <w:t>1</w:t>
      </w:r>
      <w:r>
        <w:rPr>
          <w:rFonts w:hint="eastAsia" w:ascii="宋体" w:hAnsi="宋体" w:eastAsia="宋体" w:cs="宋体"/>
          <w:b w:val="0"/>
          <w:bCs/>
          <w:kern w:val="0"/>
          <w:sz w:val="24"/>
          <w:szCs w:val="24"/>
          <w:highlight w:val="none"/>
          <w:lang w:val="en-US" w:eastAsia="zh-CN"/>
        </w:rPr>
        <w:t>室（济南路与钱江路交叉口向南200米路西）、</w:t>
      </w:r>
      <w:r>
        <w:rPr>
          <w:rFonts w:hint="eastAsia" w:ascii="宋体" w:hAnsi="宋体" w:cs="宋体"/>
          <w:b w:val="0"/>
          <w:bCs/>
          <w:kern w:val="0"/>
          <w:sz w:val="24"/>
          <w:szCs w:val="24"/>
          <w:highlight w:val="none"/>
          <w:lang w:val="en-US" w:eastAsia="zh-CN"/>
        </w:rPr>
        <w:t>赢标电子招标采购交易平台（菏泽专区）（http://hz.fzbidding.com）虚拟开标大厅开启</w:t>
      </w:r>
    </w:p>
    <w:p>
      <w:pPr>
        <w:spacing w:line="408" w:lineRule="auto"/>
        <w:ind w:left="0" w:leftChars="0" w:firstLine="0" w:firstLineChars="0"/>
        <w:rPr>
          <w:rFonts w:hint="eastAsia" w:ascii="宋体" w:hAnsi="宋体" w:eastAsia="宋体" w:cs="宋体"/>
          <w:sz w:val="24"/>
          <w:szCs w:val="24"/>
        </w:rPr>
      </w:pPr>
      <w:r>
        <w:rPr>
          <w:rFonts w:hint="eastAsia" w:cs="宋体"/>
          <w:b/>
          <w:bCs/>
          <w:sz w:val="24"/>
          <w:szCs w:val="24"/>
          <w:lang w:val="en-US" w:eastAsia="zh-CN"/>
        </w:rPr>
        <w:t>六</w:t>
      </w:r>
      <w:r>
        <w:rPr>
          <w:rFonts w:hint="eastAsia" w:ascii="宋体" w:hAnsi="宋体" w:eastAsia="宋体" w:cs="宋体"/>
          <w:b/>
          <w:bCs/>
          <w:sz w:val="24"/>
          <w:szCs w:val="24"/>
        </w:rPr>
        <w:t>、公告期限：</w:t>
      </w:r>
      <w:r>
        <w:rPr>
          <w:rFonts w:hint="eastAsia" w:ascii="宋体" w:hAnsi="宋体" w:eastAsia="宋体" w:cs="宋体"/>
          <w:sz w:val="24"/>
          <w:szCs w:val="24"/>
        </w:rPr>
        <w:tab/>
      </w:r>
    </w:p>
    <w:p>
      <w:pPr>
        <w:spacing w:line="408" w:lineRule="auto"/>
        <w:ind w:left="0" w:leftChars="0"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自本公告发布之日起</w:t>
      </w: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七、其他补充事宜：</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重要说明：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网上交易须知：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bCs w:val="0"/>
          <w:kern w:val="0"/>
          <w:sz w:val="24"/>
          <w:szCs w:val="24"/>
          <w:highlight w:val="none"/>
          <w:lang w:val="en-US" w:eastAsia="zh-CN"/>
        </w:rPr>
        <w:t>本次采购为电子招投标，采用远程不见面开标，全程线上举行，供应商无需到达现场参加开标活动。</w:t>
      </w:r>
      <w:r>
        <w:rPr>
          <w:rFonts w:hint="eastAsia" w:ascii="宋体" w:hAnsi="宋体" w:eastAsia="宋体" w:cs="宋体"/>
          <w:b w:val="0"/>
          <w:bCs/>
          <w:kern w:val="0"/>
          <w:sz w:val="24"/>
          <w:szCs w:val="24"/>
          <w:highlight w:val="none"/>
          <w:lang w:val="en-US" w:eastAsia="zh-CN"/>
        </w:rPr>
        <w:t>提交电子响应文件需使用赢标平台——投标客户端经过CA锁进行加密，加密后生成的电子响应文件方可上传提交，网站的注册及 CA 的办理过程需一定时间周期，供应商务必在</w:t>
      </w:r>
      <w:r>
        <w:rPr>
          <w:rFonts w:hint="eastAsia" w:ascii="宋体" w:hAnsi="宋体" w:cs="宋体"/>
          <w:b w:val="0"/>
          <w:bCs/>
          <w:kern w:val="0"/>
          <w:sz w:val="24"/>
          <w:szCs w:val="24"/>
          <w:highlight w:val="none"/>
          <w:lang w:val="en-US" w:eastAsia="zh-CN"/>
        </w:rPr>
        <w:t>磋商文件规定的时间内</w:t>
      </w:r>
      <w:r>
        <w:rPr>
          <w:rFonts w:hint="eastAsia" w:ascii="宋体" w:hAnsi="宋体" w:eastAsia="宋体" w:cs="宋体"/>
          <w:b w:val="0"/>
          <w:bCs/>
          <w:kern w:val="0"/>
          <w:sz w:val="24"/>
          <w:szCs w:val="24"/>
          <w:highlight w:val="none"/>
          <w:lang w:val="en-US" w:eastAsia="zh-CN"/>
        </w:rPr>
        <w:t>进行网站的注册及CA办理完成，以免造成</w:t>
      </w:r>
      <w:r>
        <w:rPr>
          <w:rFonts w:hint="eastAsia" w:ascii="宋体" w:hAnsi="宋体" w:cs="宋体"/>
          <w:b w:val="0"/>
          <w:bCs/>
          <w:kern w:val="0"/>
          <w:sz w:val="24"/>
          <w:szCs w:val="24"/>
          <w:highlight w:val="none"/>
          <w:lang w:val="en-US" w:eastAsia="zh-CN"/>
        </w:rPr>
        <w:t>投标</w:t>
      </w:r>
      <w:r>
        <w:rPr>
          <w:rFonts w:hint="eastAsia" w:ascii="宋体" w:hAnsi="宋体" w:eastAsia="宋体" w:cs="宋体"/>
          <w:b w:val="0"/>
          <w:bCs/>
          <w:kern w:val="0"/>
          <w:sz w:val="24"/>
          <w:szCs w:val="24"/>
          <w:highlight w:val="none"/>
          <w:lang w:val="en-US" w:eastAsia="zh-CN"/>
        </w:rPr>
        <w:t>失败。未及时进行网站注册及 CA 办理的供应商所造成的投标失败，后果由其自负。（企业CA</w:t>
      </w:r>
      <w:r>
        <w:rPr>
          <w:rFonts w:hint="eastAsia" w:ascii="宋体" w:hAnsi="宋体" w:cs="宋体"/>
          <w:b w:val="0"/>
          <w:bCs/>
          <w:kern w:val="0"/>
          <w:sz w:val="24"/>
          <w:szCs w:val="24"/>
          <w:highlight w:val="none"/>
          <w:lang w:val="en-US" w:eastAsia="zh-CN"/>
        </w:rPr>
        <w:t>办理</w:t>
      </w:r>
      <w:r>
        <w:rPr>
          <w:rFonts w:hint="eastAsia" w:ascii="宋体" w:hAnsi="宋体" w:eastAsia="宋体" w:cs="宋体"/>
          <w:b w:val="0"/>
          <w:bCs/>
          <w:kern w:val="0"/>
          <w:sz w:val="24"/>
          <w:szCs w:val="24"/>
          <w:highlight w:val="none"/>
          <w:lang w:val="en-US" w:eastAsia="zh-CN"/>
        </w:rPr>
        <w:t>注册请于菏泽市公共资源交易中心一楼杜经理联系，电话：15315301315</w:t>
      </w:r>
      <w:r>
        <w:rPr>
          <w:rFonts w:hint="eastAsia" w:ascii="宋体" w:hAnsi="宋体" w:cs="宋体"/>
          <w:b w:val="0"/>
          <w:bCs/>
          <w:kern w:val="0"/>
          <w:sz w:val="24"/>
          <w:szCs w:val="24"/>
          <w:highlight w:val="none"/>
          <w:lang w:val="en-US" w:eastAsia="zh-CN"/>
        </w:rPr>
        <w:t>）</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val="en-US" w:eastAsia="zh-CN"/>
        </w:rPr>
        <w:t>本项目实行不见面开标。供应商应当按照磋商文件要求编制电子响应文件，并在开标前登录赢标电子招标采购交易平台（菏泽专区）（http://hz.fzbidding.com）在线签到并准时参加开标活动并进行响应文件解密，解密时间规定为 30 分钟，供应商需使用 CA 在规定的时间内自行完成解密，解密结束后对开标记录进行电子签章。若供应商在解密规定时间内未完成电子标解密操作，视为放弃该项目投标。电子开标过程出现故障时，按相关部门的规定处理。供应商应提前做好有关设施、设备配置安装工作，确保自己的电脑环境、CA 锁、网络等状况良好，以免影响其参与采购活动。因供应商自身软硬件配备不齐全或发生故障等问题而导致在交互过程中出现不稳定或中断等情况的，由供应商自身承担一切后果。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w:t>
      </w:r>
      <w:r>
        <w:rPr>
          <w:rFonts w:hint="eastAsia" w:ascii="宋体" w:hAnsi="宋体" w:cs="宋体"/>
          <w:b w:val="0"/>
          <w:bCs/>
          <w:kern w:val="0"/>
          <w:sz w:val="24"/>
          <w:szCs w:val="24"/>
          <w:highlight w:val="none"/>
          <w:lang w:val="en-US" w:eastAsia="zh-CN"/>
        </w:rPr>
        <w:t>竞争性磋商</w:t>
      </w:r>
      <w:r>
        <w:rPr>
          <w:rFonts w:hint="eastAsia" w:ascii="宋体" w:hAnsi="宋体" w:eastAsia="宋体" w:cs="宋体"/>
          <w:b w:val="0"/>
          <w:bCs/>
          <w:kern w:val="0"/>
          <w:sz w:val="24"/>
          <w:szCs w:val="24"/>
          <w:highlight w:val="none"/>
          <w:lang w:val="en-US" w:eastAsia="zh-CN"/>
        </w:rPr>
        <w:t>文件一经在中国山东政府采购网、 菏泽市政府采购公共服务平台、菏泽职业学院官网、赢标平台菏泽专区 http://hz.fzbidding.com发布，视作已发放给所有供应商（发布时间即为发出磋商文件的时间），各供应商应随时关注项目信息并及时在中国山东政府采购网、菏泽市政府采购公共服务平台、菏泽职业学院官网、赢标平台菏泽专区 http://hz.fzbidding.com下载电子版</w:t>
      </w:r>
      <w:r>
        <w:rPr>
          <w:rFonts w:hint="eastAsia" w:ascii="宋体" w:hAnsi="宋体" w:cs="宋体"/>
          <w:b w:val="0"/>
          <w:bCs/>
          <w:kern w:val="0"/>
          <w:sz w:val="24"/>
          <w:szCs w:val="24"/>
          <w:highlight w:val="none"/>
          <w:lang w:val="en-US" w:eastAsia="zh-CN"/>
        </w:rPr>
        <w:t>竞争性磋商文件</w:t>
      </w:r>
      <w:r>
        <w:rPr>
          <w:rFonts w:hint="eastAsia" w:ascii="宋体" w:hAnsi="宋体" w:eastAsia="宋体" w:cs="宋体"/>
          <w:b w:val="0"/>
          <w:bCs/>
          <w:kern w:val="0"/>
          <w:sz w:val="24"/>
          <w:szCs w:val="24"/>
          <w:highlight w:val="none"/>
          <w:lang w:val="en-US" w:eastAsia="zh-CN"/>
        </w:rPr>
        <w:t>和各类澄清答疑，否则所造成的一切后果由供应商自负。</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bookmarkStart w:id="277" w:name="_GoBack"/>
      <w:bookmarkEnd w:id="277"/>
      <w:r>
        <w:rPr>
          <w:rFonts w:hint="eastAsia" w:ascii="宋体" w:hAnsi="宋体" w:eastAsia="宋体" w:cs="宋体"/>
          <w:b/>
          <w:bCs w:val="0"/>
          <w:kern w:val="0"/>
          <w:sz w:val="24"/>
          <w:szCs w:val="24"/>
          <w:highlight w:val="none"/>
          <w:lang w:val="en-US" w:eastAsia="zh-CN"/>
        </w:rPr>
        <w:t xml:space="preserve">八、对本次招标提出询问，请按以下方式联系： </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1、采购人信息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kern w:val="0"/>
          <w:sz w:val="24"/>
          <w:szCs w:val="24"/>
          <w:highlight w:val="none"/>
          <w:lang w:val="en-US" w:eastAsia="zh-CN"/>
        </w:rPr>
        <w:t>名    称：</w:t>
      </w:r>
      <w:r>
        <w:rPr>
          <w:rFonts w:hint="eastAsia" w:ascii="宋体" w:hAnsi="宋体" w:cs="宋体"/>
          <w:color w:val="000000"/>
          <w:kern w:val="0"/>
          <w:sz w:val="24"/>
          <w:szCs w:val="24"/>
          <w:highlight w:val="none"/>
          <w:lang w:val="en-US" w:eastAsia="zh-CN" w:bidi="ar-SA"/>
        </w:rPr>
        <w:t>菏泽职业学院</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地    址：</w:t>
      </w:r>
      <w:r>
        <w:rPr>
          <w:rFonts w:hint="eastAsia" w:ascii="宋体" w:hAnsi="宋体" w:cs="宋体"/>
          <w:sz w:val="24"/>
          <w:szCs w:val="24"/>
          <w:highlight w:val="none"/>
          <w:lang w:val="en-US" w:eastAsia="zh-CN"/>
        </w:rPr>
        <w:t>菏泽市牡丹区长城路999号</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kern w:val="0"/>
          <w:sz w:val="24"/>
          <w:szCs w:val="24"/>
          <w:highlight w:val="none"/>
          <w:lang w:val="en-US" w:eastAsia="zh-CN"/>
        </w:rPr>
      </w:pPr>
      <w:r>
        <w:rPr>
          <w:rFonts w:hint="eastAsia" w:ascii="宋体" w:hAnsi="宋体" w:cs="宋体"/>
          <w:b w:val="0"/>
          <w:bCs/>
          <w:kern w:val="0"/>
          <w:sz w:val="24"/>
          <w:szCs w:val="24"/>
          <w:highlight w:val="none"/>
          <w:lang w:val="en-US" w:eastAsia="zh-CN"/>
        </w:rPr>
        <w:t>联 系 人：</w:t>
      </w:r>
      <w:r>
        <w:rPr>
          <w:rFonts w:hint="eastAsia" w:cs="宋体"/>
          <w:b w:val="0"/>
          <w:bCs/>
          <w:kern w:val="0"/>
          <w:sz w:val="24"/>
          <w:szCs w:val="24"/>
          <w:highlight w:val="none"/>
          <w:lang w:val="en-US" w:eastAsia="zh-CN"/>
        </w:rPr>
        <w:t xml:space="preserve">李老师          </w:t>
      </w:r>
      <w:r>
        <w:rPr>
          <w:rFonts w:hint="eastAsia" w:ascii="宋体" w:hAnsi="宋体" w:cs="宋体"/>
          <w:b w:val="0"/>
          <w:bCs/>
          <w:kern w:val="0"/>
          <w:sz w:val="24"/>
          <w:szCs w:val="24"/>
          <w:highlight w:val="none"/>
          <w:lang w:val="en-US" w:eastAsia="zh-CN"/>
        </w:rPr>
        <w:t>汪</w:t>
      </w:r>
      <w:r>
        <w:rPr>
          <w:rFonts w:hint="eastAsia" w:cs="宋体"/>
          <w:b w:val="0"/>
          <w:bCs/>
          <w:kern w:val="0"/>
          <w:sz w:val="24"/>
          <w:szCs w:val="24"/>
          <w:highlight w:val="none"/>
          <w:lang w:val="en-US" w:eastAsia="zh-CN"/>
        </w:rPr>
        <w:t>老师</w:t>
      </w:r>
      <w:r>
        <w:rPr>
          <w:rFonts w:hint="eastAsia"/>
          <w:color w:val="000000"/>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联系方式：</w:t>
      </w:r>
      <w:r>
        <w:rPr>
          <w:rFonts w:hint="eastAsia" w:cs="Times New Roman"/>
          <w:color w:val="000000"/>
          <w:sz w:val="24"/>
          <w:szCs w:val="24"/>
          <w:highlight w:val="none"/>
          <w:lang w:val="en-US" w:eastAsia="zh-CN"/>
        </w:rPr>
        <w:t xml:space="preserve">15865082978     </w:t>
      </w:r>
      <w:r>
        <w:rPr>
          <w:rFonts w:hint="eastAsia" w:ascii="宋体" w:hAnsi="宋体" w:eastAsia="宋体" w:cs="宋体"/>
          <w:b w:val="0"/>
          <w:bCs/>
          <w:kern w:val="0"/>
          <w:sz w:val="24"/>
          <w:szCs w:val="24"/>
          <w:highlight w:val="none"/>
          <w:lang w:val="en-US" w:eastAsia="zh-CN"/>
        </w:rPr>
        <w:t>18653010630</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2、采购代理机构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名    称：</w:t>
      </w:r>
      <w:r>
        <w:rPr>
          <w:rFonts w:hint="eastAsia" w:ascii="宋体" w:hAnsi="宋体" w:cs="宋体"/>
          <w:b w:val="0"/>
          <w:bCs/>
          <w:kern w:val="0"/>
          <w:sz w:val="24"/>
          <w:szCs w:val="24"/>
          <w:highlight w:val="none"/>
          <w:lang w:val="en-US" w:eastAsia="zh-CN"/>
        </w:rPr>
        <w:t>泰安市建科建设项目管理有限公司</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地    址：</w:t>
      </w:r>
      <w:r>
        <w:rPr>
          <w:rFonts w:hint="eastAsia" w:ascii="宋体" w:hAnsi="宋体" w:cs="宋体"/>
          <w:b w:val="0"/>
          <w:bCs/>
          <w:kern w:val="0"/>
          <w:sz w:val="24"/>
          <w:szCs w:val="24"/>
          <w:highlight w:val="none"/>
          <w:lang w:val="en-US" w:eastAsia="zh-CN"/>
        </w:rPr>
        <w:t>菏泽市牡丹区毅德城B5区17栋1024号</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联系方式：18053093376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3、项目联系方式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val="0"/>
          <w:bCs w:val="0"/>
          <w:sz w:val="24"/>
          <w:szCs w:val="24"/>
          <w:highlight w:val="none"/>
          <w:lang w:val="en-US" w:eastAsia="zh-CN"/>
        </w:rPr>
      </w:pPr>
      <w:r>
        <w:rPr>
          <w:rFonts w:hint="eastAsia" w:ascii="宋体" w:hAnsi="宋体" w:eastAsia="宋体" w:cs="宋体"/>
          <w:b w:val="0"/>
          <w:bCs/>
          <w:kern w:val="0"/>
          <w:sz w:val="24"/>
          <w:szCs w:val="24"/>
          <w:highlight w:val="none"/>
          <w:lang w:val="en-US" w:eastAsia="zh-CN"/>
        </w:rPr>
        <w:t>项目联系人：</w:t>
      </w:r>
      <w:r>
        <w:rPr>
          <w:rFonts w:hint="eastAsia" w:cs="宋体"/>
          <w:b w:val="0"/>
          <w:bCs w:val="0"/>
          <w:sz w:val="24"/>
          <w:szCs w:val="24"/>
          <w:highlight w:val="none"/>
          <w:lang w:val="en-US" w:eastAsia="zh-CN"/>
        </w:rPr>
        <w:t>李文丹</w:t>
      </w:r>
    </w:p>
    <w:p>
      <w:pPr>
        <w:spacing w:line="360" w:lineRule="auto"/>
        <w:ind w:firstLine="410" w:firstLineChars="171"/>
        <w:rPr>
          <w:rFonts w:hint="eastAsia" w:ascii="宋体" w:hAnsi="宋体" w:eastAsia="宋体" w:cs="宋体"/>
          <w:kern w:val="0"/>
          <w:sz w:val="24"/>
        </w:rPr>
      </w:pPr>
      <w:r>
        <w:rPr>
          <w:rFonts w:hint="eastAsia" w:ascii="宋体" w:hAnsi="宋体" w:eastAsia="宋体" w:cs="宋体"/>
          <w:b w:val="0"/>
          <w:bCs/>
          <w:kern w:val="0"/>
          <w:sz w:val="24"/>
          <w:szCs w:val="24"/>
          <w:highlight w:val="none"/>
          <w:lang w:val="en-US" w:eastAsia="zh-CN"/>
        </w:rPr>
        <w:t>联系方式：18053093376</w:t>
      </w:r>
      <w:r>
        <w:rPr>
          <w:rFonts w:hint="eastAsia" w:ascii="宋体" w:hAnsi="宋体" w:eastAsia="宋体" w:cs="宋体"/>
          <w:kern w:val="0"/>
          <w:sz w:val="24"/>
        </w:rPr>
        <w:br w:type="page"/>
      </w:r>
    </w:p>
    <w:p>
      <w:pPr>
        <w:pStyle w:val="6"/>
        <w:numPr>
          <w:ilvl w:val="0"/>
          <w:numId w:val="4"/>
        </w:numPr>
        <w:spacing w:line="348" w:lineRule="auto"/>
        <w:rPr>
          <w:rFonts w:hint="eastAsia" w:ascii="宋体" w:hAnsi="宋体" w:eastAsia="宋体" w:cs="宋体"/>
          <w:sz w:val="36"/>
          <w:szCs w:val="36"/>
        </w:rPr>
      </w:pPr>
      <w:bookmarkStart w:id="4" w:name="_Toc4646"/>
      <w:bookmarkStart w:id="5" w:name="_Toc20132"/>
      <w:bookmarkStart w:id="6" w:name="_Toc10872"/>
      <w:bookmarkStart w:id="7" w:name="_Toc31489_WPSOffice_Level1"/>
      <w:bookmarkStart w:id="8" w:name="_Toc456_WPSOffice_Level1"/>
      <w:bookmarkStart w:id="9" w:name="_Toc197"/>
      <w:r>
        <w:rPr>
          <w:rFonts w:hint="eastAsia" w:ascii="宋体" w:hAnsi="宋体" w:eastAsia="宋体" w:cs="宋体"/>
          <w:sz w:val="36"/>
          <w:szCs w:val="36"/>
        </w:rPr>
        <w:t>供应商须知</w:t>
      </w:r>
      <w:bookmarkEnd w:id="4"/>
      <w:bookmarkEnd w:id="5"/>
      <w:bookmarkEnd w:id="6"/>
      <w:bookmarkEnd w:id="7"/>
      <w:bookmarkEnd w:id="8"/>
      <w:bookmarkEnd w:id="9"/>
    </w:p>
    <w:p>
      <w:pPr>
        <w:spacing w:line="360" w:lineRule="auto"/>
        <w:jc w:val="center"/>
        <w:rPr>
          <w:rFonts w:hint="eastAsia" w:ascii="宋体" w:hAnsi="宋体" w:eastAsia="宋体" w:cs="宋体"/>
          <w:b/>
          <w:bCs/>
          <w:sz w:val="24"/>
        </w:rPr>
      </w:pPr>
      <w:r>
        <w:rPr>
          <w:rFonts w:hint="eastAsia" w:ascii="宋体" w:hAnsi="宋体" w:eastAsia="宋体" w:cs="宋体"/>
          <w:b/>
          <w:bCs/>
          <w:sz w:val="24"/>
        </w:rPr>
        <w:t>供应商须知前附表</w:t>
      </w:r>
    </w:p>
    <w:tbl>
      <w:tblPr>
        <w:tblStyle w:val="22"/>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29"/>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 ：</w:t>
            </w:r>
            <w:r>
              <w:rPr>
                <w:rFonts w:hint="eastAsia" w:cs="宋体"/>
                <w:sz w:val="24"/>
                <w:szCs w:val="24"/>
                <w:highlight w:val="none"/>
                <w:lang w:eastAsia="zh-CN"/>
              </w:rPr>
              <w:t>菏泽职业学院</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菏泽市牡丹区长城路999号</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 系 人：李老师          汪老师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联系方式：15865082978     18653010630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default" w:ascii="宋体" w:hAnsi="宋体" w:eastAsia="宋体" w:cs="宋体"/>
                <w:sz w:val="24"/>
                <w:szCs w:val="24"/>
                <w:lang w:val="en-US" w:eastAsia="zh-CN"/>
              </w:rPr>
            </w:pPr>
            <w:r>
              <w:rPr>
                <w:rFonts w:hint="eastAsia" w:cs="宋体"/>
                <w:sz w:val="24"/>
                <w:szCs w:val="24"/>
                <w:lang w:val="en-US" w:eastAsia="zh-CN"/>
              </w:rPr>
              <w:t>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机构</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bookmarkStart w:id="10" w:name="_Toc524081077"/>
            <w:r>
              <w:rPr>
                <w:rFonts w:hint="eastAsia"/>
                <w:sz w:val="24"/>
                <w:szCs w:val="24"/>
              </w:rPr>
              <w:t>采购代理机构：</w:t>
            </w:r>
            <w:bookmarkEnd w:id="10"/>
            <w:r>
              <w:rPr>
                <w:rFonts w:hint="eastAsia"/>
                <w:sz w:val="24"/>
                <w:szCs w:val="24"/>
                <w:lang w:eastAsia="zh-CN"/>
              </w:rPr>
              <w:t>泰安市建科建设项目管理有限公司</w:t>
            </w:r>
          </w:p>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bookmarkStart w:id="11" w:name="_Toc524081078"/>
            <w:r>
              <w:rPr>
                <w:rFonts w:hint="eastAsia"/>
                <w:sz w:val="24"/>
                <w:szCs w:val="24"/>
              </w:rPr>
              <w:t>地址：</w:t>
            </w:r>
            <w:bookmarkEnd w:id="11"/>
            <w:bookmarkStart w:id="12" w:name="_Toc524081079"/>
            <w:r>
              <w:rPr>
                <w:rFonts w:hint="eastAsia"/>
                <w:sz w:val="24"/>
                <w:szCs w:val="24"/>
                <w:lang w:eastAsia="zh-CN"/>
              </w:rPr>
              <w:t>菏泽市牡丹区毅德城B5区17栋1024号</w:t>
            </w:r>
          </w:p>
          <w:bookmarkEnd w:id="12"/>
          <w:p>
            <w:pPr>
              <w:pageBreakBefore w:val="0"/>
              <w:kinsoku/>
              <w:wordWrap/>
              <w:overflowPunct/>
              <w:topLinePunct w:val="0"/>
              <w:autoSpaceDE/>
              <w:autoSpaceDN/>
              <w:bidi w:val="0"/>
              <w:spacing w:beforeAutospacing="0" w:line="440" w:lineRule="exact"/>
              <w:ind w:left="0" w:firstLine="0" w:firstLineChars="0"/>
              <w:rPr>
                <w:rFonts w:hint="eastAsia"/>
                <w:sz w:val="24"/>
                <w:szCs w:val="24"/>
              </w:rPr>
            </w:pPr>
            <w:r>
              <w:rPr>
                <w:rFonts w:hint="eastAsia"/>
                <w:sz w:val="24"/>
                <w:szCs w:val="24"/>
              </w:rPr>
              <w:t>联 系 人：</w:t>
            </w:r>
            <w:r>
              <w:rPr>
                <w:rFonts w:hint="eastAsia"/>
                <w:sz w:val="24"/>
                <w:szCs w:val="24"/>
                <w:lang w:eastAsia="zh-CN"/>
              </w:rPr>
              <w:t>李文丹</w:t>
            </w:r>
            <w:r>
              <w:rPr>
                <w:rFonts w:hint="eastAsia"/>
                <w:sz w:val="24"/>
                <w:szCs w:val="24"/>
              </w:rPr>
              <w:t xml:space="preserve"> </w:t>
            </w:r>
          </w:p>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r>
              <w:rPr>
                <w:rFonts w:hint="eastAsia"/>
                <w:sz w:val="24"/>
                <w:szCs w:val="24"/>
              </w:rPr>
              <w:t>联系方式：</w:t>
            </w:r>
            <w:r>
              <w:rPr>
                <w:rFonts w:hint="eastAsia"/>
                <w:sz w:val="24"/>
                <w:szCs w:val="24"/>
                <w:lang w:eastAsia="zh-CN"/>
              </w:rPr>
              <w:t>18053093376</w:t>
            </w:r>
          </w:p>
          <w:p>
            <w:pPr>
              <w:pStyle w:val="5"/>
              <w:pageBreakBefore w:val="0"/>
              <w:kinsoku/>
              <w:wordWrap/>
              <w:overflowPunct/>
              <w:topLinePunct w:val="0"/>
              <w:autoSpaceDE/>
              <w:autoSpaceDN/>
              <w:bidi w:val="0"/>
              <w:spacing w:beforeAutospacing="0" w:line="440" w:lineRule="exact"/>
              <w:ind w:left="0" w:firstLine="0" w:firstLineChars="0"/>
              <w:rPr>
                <w:rFonts w:hint="default"/>
                <w:sz w:val="24"/>
                <w:szCs w:val="24"/>
                <w:lang w:val="en-US" w:eastAsia="zh-CN"/>
              </w:rPr>
            </w:pPr>
            <w:r>
              <w:rPr>
                <w:rFonts w:hint="eastAsia" w:ascii="宋体" w:hAnsi="宋体" w:cs="宋体"/>
                <w:kern w:val="0"/>
                <w:sz w:val="24"/>
                <w:szCs w:val="24"/>
                <w:lang w:val="en-US" w:eastAsia="zh-CN"/>
              </w:rPr>
              <w:t>邮箱：jkjshz@163.com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cs="宋体"/>
                <w:kern w:val="0"/>
                <w:sz w:val="24"/>
                <w:szCs w:val="24"/>
                <w:lang w:val="en-US" w:eastAsia="zh-CN"/>
              </w:rPr>
              <w:t>菏泽职业学院校园正版化服务项目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4</w:t>
            </w:r>
          </w:p>
        </w:tc>
        <w:tc>
          <w:tcPr>
            <w:tcW w:w="1729" w:type="dxa"/>
            <w:noWrap/>
            <w:vAlign w:val="center"/>
          </w:tcPr>
          <w:p>
            <w:pPr>
              <w:pStyle w:val="32"/>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val="0"/>
                <w:bCs w:val="0"/>
                <w:sz w:val="24"/>
                <w:szCs w:val="24"/>
                <w:lang w:val="en-US"/>
              </w:rPr>
            </w:pPr>
            <w:r>
              <w:rPr>
                <w:rFonts w:hint="eastAsia" w:cs="宋体"/>
                <w:b w:val="0"/>
                <w:bCs w:val="0"/>
                <w:sz w:val="24"/>
                <w:szCs w:val="24"/>
                <w:lang w:val="en-US" w:eastAsia="zh-CN"/>
              </w:rPr>
              <w:t>服务</w:t>
            </w:r>
            <w:r>
              <w:rPr>
                <w:rFonts w:hint="eastAsia" w:ascii="宋体" w:hAnsi="宋体" w:eastAsia="宋体" w:cs="宋体"/>
                <w:b w:val="0"/>
                <w:bCs w:val="0"/>
                <w:sz w:val="24"/>
                <w:szCs w:val="24"/>
                <w:lang w:val="en-US"/>
              </w:rPr>
              <w:t>地点</w:t>
            </w:r>
          </w:p>
        </w:tc>
        <w:tc>
          <w:tcPr>
            <w:tcW w:w="7288" w:type="dxa"/>
            <w:noWrap/>
            <w:vAlign w:val="center"/>
          </w:tcPr>
          <w:p>
            <w:pPr>
              <w:pStyle w:val="32"/>
              <w:pageBreakBefore w:val="0"/>
              <w:kinsoku/>
              <w:wordWrap/>
              <w:overflowPunct/>
              <w:topLinePunct w:val="0"/>
              <w:autoSpaceDE/>
              <w:autoSpaceDN/>
              <w:bidi w:val="0"/>
              <w:spacing w:beforeAutospacing="0" w:line="440" w:lineRule="exact"/>
              <w:ind w:left="0" w:firstLine="0" w:firstLineChars="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5</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default" w:ascii="宋体" w:hAnsi="宋体" w:eastAsia="宋体" w:cs="宋体"/>
                <w:sz w:val="24"/>
                <w:szCs w:val="24"/>
                <w:lang w:val="en-US" w:eastAsia="zh-CN"/>
              </w:rPr>
            </w:pPr>
            <w:r>
              <w:rPr>
                <w:rFonts w:hint="eastAsia" w:cs="宋体"/>
                <w:sz w:val="24"/>
                <w:szCs w:val="24"/>
                <w:lang w:val="en-US" w:eastAsia="zh-CN"/>
              </w:rPr>
              <w:t>6</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kern w:val="0"/>
                <w:sz w:val="24"/>
                <w:szCs w:val="24"/>
                <w:highlight w:val="none"/>
              </w:rPr>
            </w:pPr>
            <w:r>
              <w:rPr>
                <w:rFonts w:hint="eastAsia" w:cs="宋体"/>
                <w:kern w:val="0"/>
                <w:sz w:val="24"/>
                <w:szCs w:val="24"/>
                <w:highlight w:val="none"/>
                <w:lang w:val="en-US" w:eastAsia="zh-CN"/>
              </w:rPr>
              <w:t>服务</w:t>
            </w:r>
            <w:r>
              <w:rPr>
                <w:rFonts w:hint="eastAsia" w:ascii="宋体" w:hAnsi="宋体" w:eastAsia="宋体" w:cs="宋体"/>
                <w:kern w:val="0"/>
                <w:sz w:val="24"/>
                <w:szCs w:val="24"/>
                <w:highlight w:val="none"/>
              </w:rPr>
              <w:t>内容</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操作系统软件服务</w:t>
            </w:r>
            <w:r>
              <w:rPr>
                <w:rFonts w:hint="eastAsia" w:cs="宋体"/>
                <w:kern w:val="0"/>
                <w:sz w:val="24"/>
                <w:szCs w:val="24"/>
                <w:highlight w:val="none"/>
                <w:lang w:eastAsia="zh-CN"/>
              </w:rPr>
              <w:t>、办公软件服务、软件资源与服务管理平台及售后服务</w:t>
            </w:r>
            <w:r>
              <w:rPr>
                <w:rFonts w:hint="eastAsia" w:cs="宋体"/>
                <w:kern w:val="0"/>
                <w:sz w:val="24"/>
                <w:szCs w:val="24"/>
                <w:highlight w:val="none"/>
                <w:lang w:val="en-US" w:eastAsia="zh-CN"/>
              </w:rPr>
              <w:t>等有关资料包括的全部内容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8</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期限</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cs="宋体"/>
                <w:b w:val="0"/>
                <w:bCs/>
                <w:kern w:val="0"/>
                <w:sz w:val="24"/>
                <w:szCs w:val="24"/>
                <w:highlight w:val="none"/>
                <w:lang w:val="en-US" w:eastAsia="zh-CN"/>
              </w:rPr>
            </w:pPr>
            <w:r>
              <w:rPr>
                <w:rFonts w:hint="eastAsia" w:cs="宋体"/>
                <w:b w:val="0"/>
                <w:bCs/>
                <w:kern w:val="0"/>
                <w:sz w:val="24"/>
                <w:szCs w:val="24"/>
                <w:highlight w:val="none"/>
                <w:lang w:val="en-US" w:eastAsia="zh-CN"/>
              </w:rPr>
              <w:t>供货期：</w:t>
            </w:r>
            <w:r>
              <w:rPr>
                <w:rFonts w:hint="eastAsia" w:ascii="宋体" w:hAnsi="宋体" w:eastAsia="宋体" w:cs="宋体"/>
                <w:b w:val="0"/>
                <w:bCs/>
                <w:kern w:val="0"/>
                <w:sz w:val="24"/>
                <w:szCs w:val="24"/>
                <w:highlight w:val="none"/>
                <w:lang w:val="en-US" w:eastAsia="zh-CN"/>
              </w:rPr>
              <w:t>合同签订完成后，2周内安装调试完毕</w:t>
            </w:r>
            <w:r>
              <w:rPr>
                <w:rFonts w:hint="eastAsia" w:cs="宋体"/>
                <w:b w:val="0"/>
                <w:bCs/>
                <w:kern w:val="0"/>
                <w:sz w:val="24"/>
                <w:szCs w:val="24"/>
                <w:highlight w:val="none"/>
                <w:lang w:val="en-US" w:eastAsia="zh-CN"/>
              </w:rPr>
              <w:t>；</w:t>
            </w:r>
          </w:p>
          <w:p>
            <w:pPr>
              <w:pageBreakBefore w:val="0"/>
              <w:kinsoku/>
              <w:wordWrap/>
              <w:overflowPunct/>
              <w:topLinePunct w:val="0"/>
              <w:autoSpaceDE/>
              <w:autoSpaceDN/>
              <w:bidi w:val="0"/>
              <w:spacing w:beforeAutospacing="0" w:line="440" w:lineRule="exact"/>
              <w:ind w:left="0" w:firstLine="0" w:firstLineChars="0"/>
              <w:rPr>
                <w:rFonts w:hint="default" w:ascii="宋体" w:hAnsi="宋体" w:eastAsia="宋体" w:cs="宋体"/>
                <w:kern w:val="0"/>
                <w:sz w:val="24"/>
                <w:szCs w:val="24"/>
                <w:highlight w:val="none"/>
                <w:lang w:val="en-US" w:eastAsia="zh-CN"/>
              </w:rPr>
            </w:pPr>
            <w:r>
              <w:rPr>
                <w:rFonts w:hint="eastAsia" w:cs="宋体"/>
                <w:b w:val="0"/>
                <w:bCs/>
                <w:kern w:val="0"/>
                <w:sz w:val="24"/>
                <w:szCs w:val="24"/>
                <w:highlight w:val="none"/>
                <w:lang w:val="en-US" w:eastAsia="zh-CN"/>
              </w:rPr>
              <w:t>服务期限：1年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9</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cs="宋体"/>
                <w:sz w:val="24"/>
                <w:szCs w:val="24"/>
                <w:lang w:val="en-US" w:eastAsia="zh-CN"/>
              </w:rPr>
              <w:t>服务</w:t>
            </w:r>
            <w:r>
              <w:rPr>
                <w:rFonts w:hint="eastAsia" w:ascii="宋体" w:hAnsi="宋体" w:eastAsia="宋体" w:cs="宋体"/>
                <w:sz w:val="24"/>
                <w:szCs w:val="24"/>
              </w:rPr>
              <w:t>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达到国家、地方、行业及采购人要求的质量标准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供应商资格要求</w:t>
            </w:r>
          </w:p>
        </w:tc>
        <w:tc>
          <w:tcPr>
            <w:tcW w:w="7288" w:type="dxa"/>
            <w:noWrap/>
            <w:vAlign w:val="center"/>
          </w:tcPr>
          <w:p>
            <w:pPr>
              <w:pStyle w:val="11"/>
              <w:pageBreakBefore w:val="0"/>
              <w:kinsoku/>
              <w:wordWrap/>
              <w:overflowPunct/>
              <w:topLinePunct w:val="0"/>
              <w:autoSpaceDE/>
              <w:autoSpaceDN/>
              <w:bidi w:val="0"/>
              <w:spacing w:beforeAutospacing="0" w:line="44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是否接受联合体报价</w:t>
            </w:r>
          </w:p>
        </w:tc>
        <w:tc>
          <w:tcPr>
            <w:tcW w:w="7288" w:type="dxa"/>
            <w:noWrap/>
            <w:vAlign w:val="center"/>
          </w:tcPr>
          <w:p>
            <w:pPr>
              <w:pageBreakBefore w:val="0"/>
              <w:numPr>
                <w:ilvl w:val="0"/>
                <w:numId w:val="5"/>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288" w:type="dxa"/>
            <w:noWrap/>
            <w:vAlign w:val="center"/>
          </w:tcPr>
          <w:p>
            <w:pPr>
              <w:pageBreakBefore w:val="0"/>
              <w:numPr>
                <w:ilvl w:val="0"/>
                <w:numId w:val="0"/>
              </w:numPr>
              <w:kinsoku/>
              <w:wordWrap/>
              <w:overflowPunct/>
              <w:topLinePunct w:val="0"/>
              <w:autoSpaceDE/>
              <w:autoSpaceDN/>
              <w:bidi w:val="0"/>
              <w:spacing w:beforeAutospacing="0" w:line="44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不组织</w:t>
            </w:r>
            <w:r>
              <w:rPr>
                <w:rFonts w:hint="eastAsia" w:ascii="宋体" w:hAnsi="宋体" w:eastAsia="宋体" w:cs="宋体"/>
                <w:sz w:val="24"/>
                <w:szCs w:val="24"/>
                <w:lang w:eastAsia="zh-CN"/>
              </w:rPr>
              <w:t>，采购人不统一组织供应商踏勘项目现场，各供应商自行踏勘现场，因供应商未踏勘现场引起的风险后果由供应商自行承担。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预备会</w:t>
            </w:r>
          </w:p>
        </w:tc>
        <w:tc>
          <w:tcPr>
            <w:tcW w:w="7288" w:type="dxa"/>
            <w:noWrap/>
            <w:vAlign w:val="center"/>
          </w:tcPr>
          <w:p>
            <w:pPr>
              <w:pageBreakBefore w:val="0"/>
              <w:numPr>
                <w:ilvl w:val="0"/>
                <w:numId w:val="6"/>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14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val="en-US" w:eastAsia="zh-CN"/>
              </w:rPr>
            </w:pPr>
            <w:r>
              <w:rPr>
                <w:rFonts w:hint="eastAsia" w:cs="宋体"/>
                <w:sz w:val="24"/>
                <w:szCs w:val="24"/>
                <w:lang w:val="en-US" w:eastAsia="zh-CN"/>
              </w:rPr>
              <w:t>偏离</w:t>
            </w:r>
          </w:p>
        </w:tc>
        <w:tc>
          <w:tcPr>
            <w:tcW w:w="7288" w:type="dxa"/>
            <w:noWrap/>
            <w:vAlign w:val="center"/>
          </w:tcPr>
          <w:p>
            <w:pPr>
              <w:pageBreakBefore w:val="0"/>
              <w:numPr>
                <w:ilvl w:val="0"/>
                <w:numId w:val="0"/>
              </w:numPr>
              <w:kinsoku/>
              <w:wordWrap/>
              <w:overflowPunct/>
              <w:topLinePunct w:val="0"/>
              <w:autoSpaceDE/>
              <w:autoSpaceDN/>
              <w:bidi w:val="0"/>
              <w:spacing w:beforeAutospacing="0" w:line="440" w:lineRule="exact"/>
              <w:ind w:leftChars="0"/>
              <w:rPr>
                <w:rFonts w:hint="default" w:ascii="宋体" w:hAnsi="宋体" w:eastAsia="宋体" w:cs="宋体"/>
                <w:sz w:val="24"/>
                <w:szCs w:val="24"/>
                <w:lang w:val="en-US" w:eastAsia="zh-CN"/>
              </w:rPr>
            </w:pPr>
            <w:r>
              <w:rPr>
                <w:rFonts w:hint="eastAsia" w:cs="宋体"/>
                <w:sz w:val="24"/>
                <w:szCs w:val="24"/>
                <w:lang w:val="en-US" w:eastAsia="zh-CN"/>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5</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主动</w:t>
            </w:r>
            <w:r>
              <w:rPr>
                <w:rFonts w:hint="eastAsia" w:ascii="宋体" w:hAnsi="宋体" w:eastAsia="宋体" w:cs="宋体"/>
                <w:sz w:val="24"/>
                <w:szCs w:val="24"/>
              </w:rPr>
              <w:t>澄清</w:t>
            </w:r>
            <w:r>
              <w:rPr>
                <w:rFonts w:hint="eastAsia" w:ascii="宋体" w:hAnsi="宋体" w:eastAsia="宋体" w:cs="宋体"/>
                <w:sz w:val="24"/>
                <w:szCs w:val="24"/>
                <w:lang w:eastAsia="zh-CN"/>
              </w:rPr>
              <w:t>、</w:t>
            </w:r>
            <w:r>
              <w:rPr>
                <w:rFonts w:hint="eastAsia" w:ascii="宋体" w:hAnsi="宋体" w:eastAsia="宋体" w:cs="宋体"/>
                <w:sz w:val="24"/>
                <w:szCs w:val="24"/>
              </w:rPr>
              <w:t>修改的时间</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提交响应文件</w:t>
            </w:r>
            <w:r>
              <w:rPr>
                <w:rFonts w:hint="eastAsia" w:ascii="宋体" w:hAnsi="宋体" w:eastAsia="宋体" w:cs="宋体"/>
                <w:sz w:val="24"/>
                <w:szCs w:val="24"/>
              </w:rPr>
              <w:t>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日前，</w:t>
            </w:r>
            <w:r>
              <w:rPr>
                <w:rFonts w:hint="eastAsia" w:ascii="宋体" w:hAnsi="宋体" w:eastAsia="宋体" w:cs="宋体"/>
                <w:sz w:val="24"/>
                <w:szCs w:val="24"/>
                <w:lang w:val="en-US" w:eastAsia="zh-CN"/>
              </w:rPr>
              <w:t>将澄清、修改的内容发布在相关平台，请各供应商自行查阅下载</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6</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分包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转包</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不允许任何情况的转包和分包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构成竞争性磋商文件的其他材料</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采购人所提供的文件及有关资料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8</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r>
              <w:rPr>
                <w:rFonts w:hint="eastAsia" w:ascii="宋体" w:hAnsi="宋体" w:eastAsia="宋体" w:cs="宋体"/>
                <w:sz w:val="24"/>
                <w:szCs w:val="24"/>
                <w:lang w:val="en-US" w:eastAsia="zh-CN"/>
              </w:rPr>
              <w:t>及方式</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磋商报价</w:t>
            </w:r>
            <w:r>
              <w:rPr>
                <w:rFonts w:hint="eastAsia" w:ascii="宋体" w:hAnsi="宋体" w:eastAsia="宋体" w:cs="宋体"/>
                <w:sz w:val="24"/>
                <w:szCs w:val="24"/>
              </w:rPr>
              <w:t>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日前，以书面形式提出并发送电子版（盖章扫描件及word文档格式文件以电子邮件的方式）通知至代理机构（电话：</w:t>
            </w:r>
            <w:r>
              <w:rPr>
                <w:rFonts w:hint="eastAsia" w:ascii="宋体" w:hAnsi="宋体" w:eastAsia="宋体" w:cs="宋体"/>
                <w:sz w:val="24"/>
                <w:szCs w:val="24"/>
                <w:lang w:val="en-US" w:eastAsia="zh-CN"/>
              </w:rPr>
              <w:t>18053093376</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菏泽市牡丹区毅德城B5区17栋1024号</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"mailto:sdtajk_hz@163.com"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jkjs</w:t>
            </w:r>
            <w:r>
              <w:rPr>
                <w:rFonts w:hint="eastAsia" w:ascii="宋体" w:hAnsi="宋体" w:eastAsia="宋体" w:cs="宋体"/>
                <w:sz w:val="24"/>
                <w:szCs w:val="24"/>
              </w:rPr>
              <w:t>hz@163.com</w:t>
            </w:r>
            <w:r>
              <w:rPr>
                <w:rFonts w:hint="eastAsia"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提交响应文件</w:t>
            </w:r>
            <w:r>
              <w:rPr>
                <w:rFonts w:hint="eastAsia" w:ascii="宋体" w:hAnsi="宋体" w:eastAsia="宋体" w:cs="宋体"/>
                <w:sz w:val="24"/>
                <w:szCs w:val="24"/>
              </w:rPr>
              <w:t>截止日期</w:t>
            </w:r>
            <w:r>
              <w:rPr>
                <w:rFonts w:hint="eastAsia" w:ascii="宋体" w:hAnsi="宋体" w:eastAsia="宋体" w:cs="宋体"/>
                <w:sz w:val="24"/>
                <w:szCs w:val="24"/>
                <w:lang w:val="en-US" w:eastAsia="zh-CN"/>
              </w:rPr>
              <w:t>5</w:t>
            </w:r>
            <w:r>
              <w:rPr>
                <w:rFonts w:hint="eastAsia" w:ascii="宋体" w:hAnsi="宋体" w:eastAsia="宋体" w:cs="宋体"/>
                <w:sz w:val="24"/>
                <w:szCs w:val="24"/>
              </w:rPr>
              <w:t>日前未提出疑问，将被视同对</w:t>
            </w:r>
            <w:r>
              <w:rPr>
                <w:rFonts w:hint="eastAsia" w:ascii="宋体" w:hAnsi="宋体" w:eastAsia="宋体" w:cs="宋体"/>
                <w:sz w:val="24"/>
                <w:szCs w:val="24"/>
                <w:lang w:eastAsia="zh-CN"/>
              </w:rPr>
              <w:t>竞争性磋商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中的各项内容均无异议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cs="宋体"/>
                <w:sz w:val="24"/>
                <w:szCs w:val="24"/>
                <w:lang w:val="en-US" w:eastAsia="zh-CN"/>
              </w:rPr>
              <w:t>9</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确认收到澄清</w:t>
            </w:r>
            <w:r>
              <w:rPr>
                <w:rFonts w:hint="eastAsia" w:ascii="宋体" w:hAnsi="宋体" w:eastAsia="宋体" w:cs="宋体"/>
                <w:sz w:val="24"/>
                <w:szCs w:val="24"/>
                <w:lang w:eastAsia="zh-CN"/>
              </w:rPr>
              <w:t>、</w:t>
            </w:r>
            <w:r>
              <w:rPr>
                <w:rFonts w:hint="eastAsia" w:ascii="宋体" w:hAnsi="宋体" w:eastAsia="宋体" w:cs="宋体"/>
                <w:sz w:val="24"/>
                <w:szCs w:val="24"/>
              </w:rPr>
              <w:t>修改的时间</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color w:val="000000"/>
                <w:sz w:val="24"/>
                <w:szCs w:val="24"/>
                <w:u w:val="single"/>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20</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构成响应文件的其他材料</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按照磋商小组要求递交的澄清、补充、修改及说明。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报价有效期</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从报价截止之日算起90日历天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是否允许递交备选报价方案</w:t>
            </w:r>
          </w:p>
        </w:tc>
        <w:tc>
          <w:tcPr>
            <w:tcW w:w="7288" w:type="dxa"/>
            <w:noWrap/>
            <w:vAlign w:val="center"/>
          </w:tcPr>
          <w:p>
            <w:pPr>
              <w:pageBreakBefore w:val="0"/>
              <w:numPr>
                <w:ilvl w:val="0"/>
                <w:numId w:val="7"/>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签字或盖章</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应由法定代表人或其授权委托人签字或盖章并加盖</w:t>
            </w:r>
            <w:r>
              <w:rPr>
                <w:rFonts w:hint="eastAsia" w:ascii="宋体" w:hAnsi="宋体" w:eastAsia="宋体" w:cs="宋体"/>
                <w:sz w:val="24"/>
                <w:szCs w:val="24"/>
                <w:lang w:eastAsia="zh-CN"/>
              </w:rPr>
              <w:t>供应商</w:t>
            </w:r>
            <w:r>
              <w:rPr>
                <w:rFonts w:hint="eastAsia" w:ascii="宋体" w:hAnsi="宋体" w:eastAsia="宋体" w:cs="宋体"/>
                <w:sz w:val="24"/>
                <w:szCs w:val="24"/>
              </w:rPr>
              <w:t>单位公章；不符合上述要求的，按无效报价处理。（电子</w:t>
            </w:r>
            <w:r>
              <w:rPr>
                <w:rFonts w:hint="eastAsia" w:cs="宋体"/>
                <w:sz w:val="24"/>
                <w:szCs w:val="24"/>
                <w:lang w:val="en-US" w:eastAsia="zh-CN"/>
              </w:rPr>
              <w:t>响应文件</w:t>
            </w:r>
            <w:r>
              <w:rPr>
                <w:rFonts w:hint="eastAsia" w:ascii="宋体" w:hAnsi="宋体" w:eastAsia="宋体" w:cs="宋体"/>
                <w:sz w:val="24"/>
                <w:szCs w:val="24"/>
              </w:rPr>
              <w:t>中使用电子签章）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经过加密的电子版响应文件一份，需在递交截止时间前在赢标平台菏泽专区（http://hz.fzbidding.com/）上传。</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中标后该企业还需提交</w:t>
            </w:r>
            <w:r>
              <w:rPr>
                <w:rFonts w:hint="eastAsia" w:ascii="宋体" w:hAnsi="宋体" w:eastAsia="宋体" w:cs="宋体"/>
                <w:sz w:val="24"/>
                <w:szCs w:val="24"/>
                <w:lang w:val="en-US" w:eastAsia="zh-CN"/>
              </w:rPr>
              <w:t>四</w:t>
            </w:r>
            <w:r>
              <w:rPr>
                <w:rFonts w:hint="eastAsia" w:ascii="宋体" w:hAnsi="宋体" w:eastAsia="宋体" w:cs="宋体"/>
                <w:sz w:val="24"/>
                <w:szCs w:val="24"/>
              </w:rPr>
              <w:t>份胶装的系统内生成的 PDF 版纸质标书，并加盖公章。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25</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装订要求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26</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项目名称：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项目编号：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供应商名称：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供应商地址：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供应商联系人：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供应商联系电话：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在****年**月**日**时**分前不得开启</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未按照上述要求密封的，其</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7288" w:type="dxa"/>
            <w:noWrap/>
            <w:vAlign w:val="center"/>
          </w:tcPr>
          <w:p>
            <w:pPr>
              <w:pStyle w:val="33"/>
              <w:pageBreakBefore w:val="0"/>
              <w:numPr>
                <w:ilvl w:val="1"/>
                <w:numId w:val="0"/>
              </w:numPr>
              <w:tabs>
                <w:tab w:val="clear" w:pos="567"/>
                <w:tab w:val="clear" w:pos="1140"/>
              </w:tabs>
              <w:kinsoku/>
              <w:wordWrap/>
              <w:overflowPunct/>
              <w:topLinePunct w:val="0"/>
              <w:autoSpaceDE/>
              <w:autoSpaceDN/>
              <w:bidi w:val="0"/>
              <w:adjustRightInd w:val="0"/>
              <w:snapToGrid w:val="0"/>
              <w:spacing w:beforeAutospacing="0" w:after="0" w:line="440" w:lineRule="exact"/>
              <w:ind w:left="0" w:firstLine="0" w:firstLineChars="0"/>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合同签订后预付合同总价款的15%，全部服务内容完成并验收合格后，付至合同总价款的90%，一年后无任何问题且服务达到采购人满意付至合同总价款的100%。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28</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截止时间和地点</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29</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磋商时间和地点</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30</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rPr>
              <w:t>是否退还</w:t>
            </w:r>
            <w:r>
              <w:rPr>
                <w:rFonts w:hint="eastAsia" w:ascii="宋体" w:hAnsi="宋体" w:eastAsia="宋体" w:cs="宋体"/>
                <w:sz w:val="24"/>
                <w:szCs w:val="24"/>
                <w:lang w:eastAsia="zh-CN"/>
              </w:rPr>
              <w:t>响应文件</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磋商程序</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按下列程序进行开标：</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1.代理机构通过赢标平台菏泽专区发送开标指令；</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2.供应商在解密截止时间之前，通过赢标电子招标采购交易平台（菏泽专区）对已递交的电子响应文件进行解密；</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3.待所有供应商解密完成或到解密截止时间后，代理机构发布开标一览表；</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4.供应商对开标记录使用CA数字证书进行电子签名，未进行电子签名的视为默认开标记录；</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5.开标结束。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磋商小组的</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组建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u w:val="single"/>
              </w:rPr>
            </w:pPr>
            <w:r>
              <w:rPr>
                <w:rFonts w:hint="eastAsia" w:ascii="宋体" w:hAnsi="宋体" w:eastAsia="宋体" w:cs="宋体"/>
                <w:sz w:val="24"/>
                <w:szCs w:val="24"/>
                <w:lang w:val="en-US" w:eastAsia="zh-CN"/>
              </w:rPr>
              <w:t>磋商小组3人。其中，采购人</w:t>
            </w:r>
            <w:r>
              <w:rPr>
                <w:rFonts w:hint="eastAsia" w:ascii="宋体" w:hAnsi="宋体" w:eastAsia="宋体" w:cs="宋体"/>
                <w:sz w:val="24"/>
                <w:szCs w:val="24"/>
                <w:lang w:val="zh-CN" w:eastAsia="zh-CN"/>
              </w:rPr>
              <w:t>代表</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名，其余</w:t>
            </w:r>
            <w:r>
              <w:rPr>
                <w:rFonts w:hint="eastAsia" w:ascii="宋体" w:hAnsi="宋体" w:eastAsia="宋体" w:cs="宋体"/>
                <w:sz w:val="24"/>
                <w:szCs w:val="24"/>
                <w:lang w:val="en-US" w:eastAsia="zh-CN"/>
              </w:rPr>
              <w:t>2名</w:t>
            </w:r>
            <w:r>
              <w:rPr>
                <w:rFonts w:hint="eastAsia" w:ascii="宋体" w:hAnsi="宋体" w:eastAsia="宋体" w:cs="宋体"/>
                <w:sz w:val="24"/>
                <w:szCs w:val="24"/>
                <w:lang w:val="zh-CN" w:eastAsia="zh-CN"/>
              </w:rPr>
              <w:t>成员从山东省政府采购信息公开平台专家库中随机抽取。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是否授权磋商小组确定成交人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□是</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否，推荐的成交候选人数：推荐排名最前的三名</w:t>
            </w:r>
            <w:r>
              <w:rPr>
                <w:rFonts w:hint="eastAsia" w:ascii="宋体" w:hAnsi="宋体" w:eastAsia="宋体" w:cs="宋体"/>
                <w:sz w:val="24"/>
                <w:szCs w:val="24"/>
              </w:rPr>
              <w:br w:type="textWrapping"/>
            </w:r>
            <w:r>
              <w:rPr>
                <w:rFonts w:hint="eastAsia" w:ascii="宋体" w:hAnsi="宋体" w:eastAsia="宋体" w:cs="宋体"/>
                <w:sz w:val="24"/>
                <w:szCs w:val="24"/>
                <w:lang w:val="zh-CN"/>
              </w:rPr>
              <w:t>评标委员会向招标人推荐3名</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人应依据评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委员会推荐的排名顺序确定排名第一的</w:t>
            </w:r>
            <w:r>
              <w:rPr>
                <w:rFonts w:hint="eastAsia" w:ascii="宋体" w:hAnsi="宋体" w:eastAsia="宋体" w:cs="宋体"/>
                <w:sz w:val="24"/>
                <w:szCs w:val="24"/>
                <w:lang w:val="zh-CN"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人，排名第一的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候选人放弃</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、因不可抗力不能履行合同、不按照</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文件要求提交履约保证金或者被查实存在影响中标结果的违法行为等情形，不符合</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条件的，</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人可以按照评委员会推荐的候选人名单排序依次确定其他</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采购控制价</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大写：</w:t>
            </w:r>
            <w:r>
              <w:rPr>
                <w:rFonts w:hint="eastAsia" w:cs="宋体"/>
                <w:b/>
                <w:bCs/>
                <w:sz w:val="24"/>
                <w:szCs w:val="24"/>
                <w:highlight w:val="none"/>
                <w:lang w:val="en-US" w:eastAsia="zh-CN"/>
              </w:rPr>
              <w:t>贰拾叁万元整</w:t>
            </w:r>
          </w:p>
          <w:p>
            <w:pPr>
              <w:pageBreakBefore w:val="0"/>
              <w:kinsoku/>
              <w:wordWrap/>
              <w:overflowPunct/>
              <w:topLinePunct w:val="0"/>
              <w:autoSpaceDE/>
              <w:autoSpaceDN/>
              <w:bidi w:val="0"/>
              <w:spacing w:beforeAutospacing="0" w:line="440" w:lineRule="exact"/>
              <w:ind w:left="0" w:firstLine="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小写：</w:t>
            </w:r>
            <w:r>
              <w:rPr>
                <w:rFonts w:hint="eastAsia" w:cs="宋体"/>
                <w:b/>
                <w:bCs/>
                <w:sz w:val="24"/>
                <w:szCs w:val="24"/>
                <w:highlight w:val="none"/>
                <w:lang w:val="en-US" w:eastAsia="zh-CN"/>
              </w:rPr>
              <w:t>230000.00</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注：供应商的投标报价不得超过采购控制价 ，否则按无效标处理。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费用承担</w:t>
            </w:r>
          </w:p>
        </w:tc>
        <w:tc>
          <w:tcPr>
            <w:tcW w:w="9017" w:type="dxa"/>
            <w:gridSpan w:val="2"/>
            <w:noWrap/>
            <w:vAlign w:val="center"/>
          </w:tcPr>
          <w:p>
            <w:pPr>
              <w:keepNext w:val="0"/>
              <w:keepLines w:val="0"/>
              <w:pageBreakBefore w:val="0"/>
              <w:numPr>
                <w:ilvl w:val="0"/>
                <w:numId w:val="8"/>
              </w:numPr>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招标代理费</w:t>
            </w:r>
            <w:r>
              <w:rPr>
                <w:rFonts w:hint="eastAsia" w:ascii="宋体" w:hAnsi="宋体" w:eastAsia="宋体" w:cs="宋体"/>
                <w:bCs/>
                <w:color w:val="000000"/>
                <w:sz w:val="24"/>
                <w:szCs w:val="24"/>
                <w:highlight w:val="none"/>
                <w:lang w:val="en-US" w:eastAsia="zh-CN"/>
              </w:rPr>
              <w:t>：参考国家发改委（原国家计委）计价格（2002）1980号文规定收费标准计取；由成交单位在领取成交通知书时一次性付清。</w:t>
            </w:r>
          </w:p>
          <w:p>
            <w:pPr>
              <w:keepNext w:val="0"/>
              <w:keepLines w:val="0"/>
              <w:pageBreakBefore w:val="0"/>
              <w:numPr>
                <w:ilvl w:val="0"/>
                <w:numId w:val="0"/>
              </w:numPr>
              <w:kinsoku/>
              <w:wordWrap/>
              <w:overflowPunct/>
              <w:topLinePunct w:val="0"/>
              <w:autoSpaceDE/>
              <w:autoSpaceDN/>
              <w:bidi w:val="0"/>
              <w:adjustRightInd/>
              <w:snapToGrid/>
              <w:spacing w:beforeAutospacing="0" w:line="440" w:lineRule="exact"/>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w:t>
            </w:r>
            <w:r>
              <w:rPr>
                <w:rFonts w:hint="eastAsia" w:ascii="宋体" w:hAnsi="宋体" w:eastAsia="宋体" w:cs="宋体"/>
                <w:b/>
                <w:bCs/>
                <w:color w:val="auto"/>
                <w:sz w:val="24"/>
                <w:szCs w:val="24"/>
                <w:highlight w:val="none"/>
                <w:lang w:val="en-US" w:eastAsia="zh-CN"/>
              </w:rPr>
              <w:t>电子交易平台收费标准</w:t>
            </w:r>
            <w:r>
              <w:rPr>
                <w:rFonts w:hint="eastAsia" w:ascii="宋体" w:hAnsi="宋体" w:eastAsia="宋体" w:cs="宋体"/>
                <w:b/>
                <w:bCs w:val="0"/>
                <w:color w:val="000000"/>
                <w:sz w:val="24"/>
                <w:szCs w:val="24"/>
                <w:highlight w:val="none"/>
              </w:rPr>
              <w:t>：</w:t>
            </w:r>
            <w:r>
              <w:rPr>
                <w:rFonts w:hint="eastAsia" w:ascii="宋体" w:hAnsi="宋体" w:eastAsia="宋体" w:cs="宋体"/>
                <w:bCs/>
                <w:color w:val="000000"/>
                <w:sz w:val="24"/>
                <w:szCs w:val="24"/>
                <w:highlight w:val="none"/>
              </w:rPr>
              <w:t>按照</w:t>
            </w:r>
            <w:r>
              <w:rPr>
                <w:rFonts w:hint="eastAsia" w:ascii="宋体" w:hAnsi="宋体" w:eastAsia="宋体" w:cs="宋体"/>
                <w:bCs/>
                <w:color w:val="000000"/>
                <w:sz w:val="24"/>
                <w:szCs w:val="24"/>
                <w:highlight w:val="none"/>
                <w:lang w:val="en-US" w:eastAsia="zh-CN"/>
              </w:rPr>
              <w:t>赢标电子招标采购交易平台（菏泽专区）</w:t>
            </w:r>
            <w:r>
              <w:rPr>
                <w:rFonts w:hint="eastAsia" w:ascii="宋体" w:hAnsi="宋体" w:eastAsia="宋体" w:cs="宋体"/>
                <w:bCs/>
                <w:color w:val="000000"/>
                <w:sz w:val="24"/>
                <w:szCs w:val="24"/>
                <w:highlight w:val="none"/>
              </w:rPr>
              <w:t>使用费标准执行。</w:t>
            </w:r>
          </w:p>
          <w:tbl>
            <w:tblPr>
              <w:tblStyle w:val="22"/>
              <w:tblpPr w:leftFromText="180" w:rightFromText="180" w:vertAnchor="text" w:horzAnchor="page" w:tblpX="277" w:tblpY="296"/>
              <w:tblOverlap w:val="never"/>
              <w:tblW w:w="6380" w:type="dxa"/>
              <w:tblInd w:w="0" w:type="dxa"/>
              <w:tblLayout w:type="fixed"/>
              <w:tblCellMar>
                <w:top w:w="0" w:type="dxa"/>
                <w:left w:w="108" w:type="dxa"/>
                <w:bottom w:w="0" w:type="dxa"/>
                <w:right w:w="108" w:type="dxa"/>
              </w:tblCellMar>
            </w:tblPr>
            <w:tblGrid>
              <w:gridCol w:w="1490"/>
              <w:gridCol w:w="2648"/>
              <w:gridCol w:w="2242"/>
            </w:tblGrid>
            <w:tr>
              <w:tblPrEx>
                <w:tblCellMar>
                  <w:top w:w="0" w:type="dxa"/>
                  <w:left w:w="108" w:type="dxa"/>
                  <w:bottom w:w="0" w:type="dxa"/>
                  <w:right w:w="108" w:type="dxa"/>
                </w:tblCellMar>
              </w:tblPrEx>
              <w:trPr>
                <w:trHeight w:val="560" w:hRule="atLeast"/>
              </w:trPr>
              <w:tc>
                <w:tcPr>
                  <w:tcW w:w="63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政府采购项目收费标准</w:t>
                  </w:r>
                </w:p>
              </w:tc>
            </w:tr>
            <w:tr>
              <w:tblPrEx>
                <w:tblCellMar>
                  <w:top w:w="0" w:type="dxa"/>
                  <w:left w:w="108" w:type="dxa"/>
                  <w:bottom w:w="0" w:type="dxa"/>
                  <w:right w:w="108" w:type="dxa"/>
                </w:tblCellMar>
              </w:tblPrEx>
              <w:trPr>
                <w:trHeight w:val="533"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区间</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概（估）价范围</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收费金额</w:t>
                  </w:r>
                </w:p>
              </w:tc>
            </w:tr>
            <w:tr>
              <w:tblPrEx>
                <w:tblCellMar>
                  <w:top w:w="0" w:type="dxa"/>
                  <w:left w:w="108" w:type="dxa"/>
                  <w:bottom w:w="0" w:type="dxa"/>
                  <w:right w:w="108" w:type="dxa"/>
                </w:tblCellMar>
              </w:tblPrEx>
              <w:trPr>
                <w:trHeight w:val="533"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概（估）价&lt;50万</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1000元</w:t>
                  </w:r>
                </w:p>
              </w:tc>
            </w:tr>
            <w:tr>
              <w:tblPrEx>
                <w:tblCellMar>
                  <w:top w:w="0" w:type="dxa"/>
                  <w:left w:w="108" w:type="dxa"/>
                  <w:bottom w:w="0" w:type="dxa"/>
                  <w:right w:w="108" w:type="dxa"/>
                </w:tblCellMar>
              </w:tblPrEx>
              <w:trPr>
                <w:trHeight w:val="621"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50万≤概（估）价&lt;300万</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2000元</w:t>
                  </w:r>
                </w:p>
              </w:tc>
            </w:tr>
            <w:tr>
              <w:tblPrEx>
                <w:tblCellMar>
                  <w:top w:w="0" w:type="dxa"/>
                  <w:left w:w="108" w:type="dxa"/>
                  <w:bottom w:w="0" w:type="dxa"/>
                  <w:right w:w="108" w:type="dxa"/>
                </w:tblCellMar>
              </w:tblPrEx>
              <w:trPr>
                <w:trHeight w:val="610"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300万≤概（估）价</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3000元</w:t>
                  </w:r>
                </w:p>
              </w:tc>
            </w:tr>
          </w:tbl>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Cs/>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3、菏泽市公共资源（国有产权）电子平台使用费收费标准如下：</w:t>
            </w:r>
          </w:p>
          <w:p>
            <w:pPr>
              <w:keepNext w:val="0"/>
              <w:keepLines w:val="0"/>
              <w:pageBreakBefore w:val="0"/>
              <w:kinsoku/>
              <w:wordWrap/>
              <w:overflowPunct/>
              <w:topLinePunct w:val="0"/>
              <w:autoSpaceDE/>
              <w:autoSpaceDN/>
              <w:bidi w:val="0"/>
              <w:adjustRightInd/>
              <w:snapToGrid/>
              <w:spacing w:line="420" w:lineRule="exact"/>
              <w:rPr>
                <w:rFonts w:hint="default" w:ascii="宋体" w:hAnsi="宋体" w:eastAsia="宋体" w:cs="宋体"/>
                <w:bCs/>
                <w:color w:val="000000"/>
                <w:sz w:val="24"/>
                <w:szCs w:val="24"/>
                <w:lang w:val="en-US" w:eastAsia="zh-CN"/>
              </w:rPr>
            </w:pPr>
            <w:r>
              <w:rPr>
                <w:rFonts w:hint="eastAsia" w:ascii="宋体" w:hAnsi="宋体" w:eastAsia="宋体" w:cs="宋体"/>
                <w:color w:val="auto"/>
                <w:sz w:val="24"/>
                <w:szCs w:val="24"/>
                <w:highlight w:val="none"/>
                <w:lang w:eastAsia="zh-CN"/>
              </w:rPr>
              <w:t>以中标价为基数，按比例分段累进计费，由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人领取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通知书前缴纳至菏泽市公共资源（国有产权）交易中心。</w:t>
            </w:r>
            <w:r>
              <w:rPr>
                <w:rFonts w:hint="eastAsia" w:ascii="宋体" w:hAnsi="宋体" w:eastAsia="宋体" w:cs="宋体"/>
                <w:color w:val="auto"/>
                <w:sz w:val="24"/>
                <w:szCs w:val="24"/>
                <w:highlight w:val="none"/>
                <w:lang w:val="en-US" w:eastAsia="zh-CN"/>
              </w:rPr>
              <w:t>具体缴费比例如下：</w:t>
            </w:r>
          </w:p>
          <w:tbl>
            <w:tblPr>
              <w:tblStyle w:val="22"/>
              <w:tblpPr w:leftFromText="180" w:rightFromText="180" w:vertAnchor="text" w:horzAnchor="page" w:tblpX="471" w:tblpY="157"/>
              <w:tblOverlap w:val="never"/>
              <w:tblW w:w="6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00万元（含</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00万元）以下部分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00万元—</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00万元（含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00万元）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00万元—</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000万元（含</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000万元）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000万元—</w:t>
                  </w:r>
                  <w:r>
                    <w:rPr>
                      <w:rFonts w:hint="eastAsia" w:ascii="宋体" w:hAnsi="宋体" w:eastAsia="宋体" w:cs="宋体"/>
                      <w:color w:val="auto"/>
                      <w:sz w:val="24"/>
                      <w:szCs w:val="24"/>
                      <w:highlight w:val="none"/>
                      <w:lang w:val="en-US" w:eastAsia="zh-CN"/>
                    </w:rPr>
                    <w:t>3000万元（含3000万元）</w:t>
                  </w:r>
                  <w:r>
                    <w:rPr>
                      <w:rFonts w:hint="eastAsia" w:ascii="宋体" w:hAnsi="宋体" w:eastAsia="宋体" w:cs="宋体"/>
                      <w:color w:val="auto"/>
                      <w:sz w:val="24"/>
                      <w:szCs w:val="24"/>
                      <w:highlight w:val="none"/>
                      <w:lang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000万元—</w:t>
                  </w:r>
                  <w:r>
                    <w:rPr>
                      <w:rFonts w:hint="eastAsia" w:ascii="宋体" w:hAnsi="宋体" w:eastAsia="宋体" w:cs="宋体"/>
                      <w:color w:val="auto"/>
                      <w:sz w:val="24"/>
                      <w:szCs w:val="24"/>
                      <w:highlight w:val="none"/>
                      <w:lang w:val="en-US" w:eastAsia="zh-CN"/>
                    </w:rPr>
                    <w:t xml:space="preserve">5000万元 （含5000万元）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5000万元-1亿元（含1亿元）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6539"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备注：</w:t>
                  </w:r>
                </w:p>
                <w:p>
                  <w:pPr>
                    <w:pStyle w:val="30"/>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firstLine="0" w:firstLineChars="0"/>
                    <w:textAlignment w:val="auto"/>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单项最低收费1000元。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2、货物与服务类项目中标金额/成交金额超出3000万元（不含3000万元）部分不再收取菏泽市公共资源（国有产权）电子平台使用费。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eastAsia="zh-CN"/>
                    </w:rPr>
                  </w:pPr>
                  <w:r>
                    <w:rPr>
                      <w:rFonts w:hint="eastAsia" w:ascii="Times New Roman" w:hAnsi="Times New Roman" w:cs="Times New Roman"/>
                      <w:color w:val="auto"/>
                      <w:kern w:val="2"/>
                      <w:sz w:val="24"/>
                      <w:szCs w:val="24"/>
                      <w:highlight w:val="none"/>
                      <w:lang w:val="en-US" w:eastAsia="zh-CN" w:bidi="ar-SA"/>
                    </w:rPr>
                    <w:t>3、工程类项目中标金额/成交金额超出1亿元（不含1亿元）部分不再收取菏泽市公共资源（国有产权）电子平台使用费。</w:t>
                  </w:r>
                </w:p>
              </w:tc>
            </w:tr>
          </w:tbl>
          <w:p>
            <w:pPr>
              <w:pStyle w:val="28"/>
              <w:ind w:left="0" w:leftChars="0" w:firstLine="0" w:firstLineChars="0"/>
              <w:rPr>
                <w:rFonts w:hint="eastAsia" w:eastAsia="宋体"/>
                <w:lang w:val="en-US" w:eastAsia="zh-CN"/>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Style w:val="11"/>
              <w:ind w:left="0" w:leftChars="0" w:firstLine="0" w:firstLineChars="0"/>
              <w:rPr>
                <w:rFonts w:hint="eastAsia" w:ascii="宋体" w:hAnsi="宋体" w:eastAsia="宋体" w:cs="宋体"/>
                <w:b/>
                <w:color w:val="000000"/>
                <w:sz w:val="24"/>
                <w:szCs w:val="24"/>
              </w:rPr>
            </w:pPr>
          </w:p>
          <w:p>
            <w:pPr>
              <w:pStyle w:val="11"/>
              <w:ind w:left="0" w:leftChars="0" w:firstLine="0" w:firstLineChars="0"/>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b/>
                <w:color w:val="000000"/>
                <w:sz w:val="24"/>
                <w:szCs w:val="24"/>
              </w:rPr>
              <w:t>注：以上费用由中标单位在领取</w:t>
            </w:r>
            <w:r>
              <w:rPr>
                <w:rFonts w:hint="eastAsia" w:ascii="宋体" w:hAnsi="宋体" w:eastAsia="宋体" w:cs="宋体"/>
                <w:b/>
                <w:color w:val="000000"/>
                <w:sz w:val="24"/>
                <w:szCs w:val="24"/>
                <w:lang w:eastAsia="zh-CN"/>
              </w:rPr>
              <w:t>成交通知书</w:t>
            </w:r>
            <w:r>
              <w:rPr>
                <w:rFonts w:hint="eastAsia" w:ascii="宋体" w:hAnsi="宋体" w:eastAsia="宋体" w:cs="宋体"/>
                <w:b/>
                <w:color w:val="000000"/>
                <w:sz w:val="24"/>
                <w:szCs w:val="24"/>
              </w:rPr>
              <w:t>时一次性缴纳。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bCs/>
                <w:kern w:val="0"/>
                <w:sz w:val="24"/>
                <w:szCs w:val="24"/>
              </w:rPr>
            </w:pPr>
            <w:r>
              <w:rPr>
                <w:rFonts w:hint="eastAsia" w:ascii="宋体" w:hAnsi="宋体" w:eastAsia="宋体" w:cs="宋体"/>
                <w:sz w:val="24"/>
                <w:szCs w:val="24"/>
              </w:rPr>
              <w:t>解释权</w:t>
            </w:r>
          </w:p>
        </w:tc>
        <w:tc>
          <w:tcPr>
            <w:tcW w:w="9017" w:type="dxa"/>
            <w:gridSpan w:val="2"/>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 w:val="0"/>
                <w:bCs w:val="0"/>
                <w:kern w:val="0"/>
                <w:sz w:val="24"/>
                <w:szCs w:val="24"/>
              </w:rPr>
              <w:t>构成本</w:t>
            </w:r>
            <w:r>
              <w:rPr>
                <w:rFonts w:hint="eastAsia" w:ascii="宋体" w:hAnsi="宋体" w:eastAsia="宋体" w:cs="宋体"/>
                <w:b w:val="0"/>
                <w:bCs w:val="0"/>
                <w:kern w:val="0"/>
                <w:sz w:val="24"/>
                <w:szCs w:val="24"/>
                <w:lang w:eastAsia="zh-CN"/>
              </w:rPr>
              <w:t>竞争性磋商文件</w:t>
            </w:r>
            <w:r>
              <w:rPr>
                <w:rFonts w:hint="eastAsia" w:ascii="宋体" w:hAnsi="宋体" w:eastAsia="宋体" w:cs="宋体"/>
                <w:b w:val="0"/>
                <w:bCs w:val="0"/>
                <w:kern w:val="0"/>
                <w:sz w:val="24"/>
                <w:szCs w:val="24"/>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b w:val="0"/>
                <w:bCs w:val="0"/>
                <w:kern w:val="0"/>
                <w:sz w:val="24"/>
                <w:szCs w:val="24"/>
                <w:lang w:eastAsia="zh-CN"/>
              </w:rPr>
              <w:t>竞争性磋商文件</w:t>
            </w:r>
            <w:r>
              <w:rPr>
                <w:rFonts w:hint="eastAsia" w:ascii="宋体" w:hAnsi="宋体" w:eastAsia="宋体" w:cs="宋体"/>
                <w:b w:val="0"/>
                <w:bCs w:val="0"/>
                <w:kern w:val="0"/>
                <w:sz w:val="24"/>
                <w:szCs w:val="24"/>
              </w:rPr>
              <w:t>中有特别规定外，仅适用于招标投标阶段的规定，按</w:t>
            </w:r>
            <w:r>
              <w:rPr>
                <w:rFonts w:hint="eastAsia" w:ascii="宋体" w:hAnsi="宋体" w:eastAsia="宋体" w:cs="宋体"/>
                <w:b w:val="0"/>
                <w:bCs w:val="0"/>
                <w:kern w:val="0"/>
                <w:sz w:val="24"/>
                <w:szCs w:val="24"/>
                <w:lang w:eastAsia="zh-CN"/>
              </w:rPr>
              <w:t>竞争性磋商公告</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须知、评标办法、</w:t>
            </w:r>
            <w:r>
              <w:rPr>
                <w:rFonts w:hint="eastAsia" w:ascii="宋体" w:hAnsi="宋体" w:eastAsia="宋体" w:cs="宋体"/>
                <w:b w:val="0"/>
                <w:bCs w:val="0"/>
                <w:kern w:val="0"/>
                <w:sz w:val="24"/>
                <w:szCs w:val="24"/>
                <w:lang w:eastAsia="zh-CN"/>
              </w:rPr>
              <w:t>响应文件</w:t>
            </w:r>
            <w:r>
              <w:rPr>
                <w:rFonts w:hint="eastAsia" w:ascii="宋体" w:hAnsi="宋体" w:eastAsia="宋体" w:cs="宋体"/>
                <w:b w:val="0"/>
                <w:bCs w:val="0"/>
                <w:kern w:val="0"/>
                <w:sz w:val="24"/>
                <w:szCs w:val="24"/>
              </w:rPr>
              <w:t>格式的先后顺序解释；</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须知与</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须知前附表不一致的，以</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须知前附表为准；同一组成文件中就同一事项的规定或约定不一致的，以编排顺序在后者为准；同一组成文件不同版本之间有不一致的，以形成时间在后者为准。按本款前述规定仍不能形成结论的，由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b w:val="0"/>
                <w:bCs w:val="0"/>
                <w:kern w:val="0"/>
                <w:sz w:val="24"/>
                <w:szCs w:val="24"/>
                <w:lang w:eastAsia="zh-CN"/>
              </w:rPr>
              <w:t>采购人</w:t>
            </w:r>
            <w:r>
              <w:rPr>
                <w:rFonts w:hint="eastAsia" w:ascii="宋体" w:hAnsi="宋体" w:eastAsia="宋体" w:cs="宋体"/>
                <w:b w:val="0"/>
                <w:bCs w:val="0"/>
                <w:kern w:val="0"/>
                <w:sz w:val="24"/>
                <w:szCs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1"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电子招投标须知</w:t>
            </w:r>
          </w:p>
        </w:tc>
        <w:tc>
          <w:tcPr>
            <w:tcW w:w="9017" w:type="dxa"/>
            <w:gridSpan w:val="2"/>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响应文件中其他章节与供应商须知有不一致的内容，以供应商须知内容为准。</w:t>
            </w:r>
          </w:p>
          <w:p>
            <w:pPr>
              <w:keepNext w:val="0"/>
              <w:keepLines w:val="0"/>
              <w:pageBreakBefore w:val="0"/>
              <w:numPr>
                <w:ilvl w:val="0"/>
                <w:numId w:val="10"/>
              </w:numPr>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本次采购为网上交易，</w:t>
            </w:r>
            <w:r>
              <w:rPr>
                <w:rFonts w:ascii="宋体" w:hAnsi="宋体" w:eastAsia="宋体" w:cs="宋体"/>
                <w:b/>
                <w:bCs/>
                <w:color w:val="000000"/>
                <w:sz w:val="24"/>
                <w:szCs w:val="24"/>
              </w:rPr>
              <w:t>招投标采用远程不见面开标的方式</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kern w:val="2"/>
                <w:sz w:val="24"/>
                <w:szCs w:val="24"/>
                <w:lang w:val="en-US" w:eastAsia="zh-CN" w:bidi="ar-SA"/>
              </w:rPr>
              <w:t>供应商应通过赢标电子招标采购交易平台(菏泽专区)http://hz.fzbidding.com/上传经CA加密的电子响应文件。</w:t>
            </w:r>
          </w:p>
          <w:p>
            <w:pPr>
              <w:keepNext w:val="0"/>
              <w:keepLines w:val="0"/>
              <w:pageBreakBefore w:val="0"/>
              <w:numPr>
                <w:ilvl w:val="0"/>
                <w:numId w:val="0"/>
              </w:numPr>
              <w:kinsoku/>
              <w:wordWrap/>
              <w:overflowPunct/>
              <w:topLinePunct w:val="0"/>
              <w:autoSpaceDE/>
              <w:autoSpaceDN/>
              <w:bidi w:val="0"/>
              <w:adjustRightInd/>
              <w:snapToGrid/>
              <w:spacing w:beforeAutospacing="0" w:line="440" w:lineRule="exact"/>
              <w:ind w:left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在线递交电子响应文件前，供应商应当使用投标客户端及CA为响应文件加密，加密时所有响应文件均只能使用同一把企业CA证书进行加密，否则引起的解密失败的责任由供应商自行承担。加密后请使用投标客户端软件验证解密，以确保电子响应文件未在加密过程中损坏。供应商未按规定加密的响应文件，赢标电子招标采购交易平台(菏泽专区)http://hz.fzbidding.com/将拒绝接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3.供应商须在投标截止时间前，通过投标客户端生成的加密文件，并在磋商文件规定的开标截止时间前登录赢标电子招标采购交易平台(菏泽专区)http://hz.fzbidding.com/递交电子响应文件。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供应商在递交响应文件之后、在规定的截止时间之前，可随时登录赢标电子招标采购交易平台(菏泽专区)http://hz.fzbidding.com/撤回响应文件。需要补充或修改响应文件时，必须先撤回电子响应文件，修改后重新递交。重新递交的响应文件应按磋商文件的规定编制、加密和CA签名。在开标截止时间后，不能修改或撤回响应文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供应商按磋商文件中规定的时间和地点公开报价，供应商须自备笔记本电脑、CA准时在线参加报价,供应商需使用CA在规定的时间内自行完成解密，解密结束后对开标记录进行电子签章。若供应商在解密规定时间内未完成电子标解密操作，视为放弃该项目投标资格。电子交易过程出现故障时，按相关部门的规定处理。</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 w:val="0"/>
                <w:bCs w:val="0"/>
                <w:color w:val="000000"/>
                <w:kern w:val="2"/>
                <w:sz w:val="24"/>
                <w:szCs w:val="24"/>
                <w:lang w:val="en-US" w:eastAsia="zh-CN" w:bidi="ar-SA"/>
              </w:rPr>
              <w:t>《操作手册》可在http://hz.fzbidding.com/“下载中心”栏目进行下载。供应商在使用电子招投标平台时，如有任何疑问，请拨打客服电话15898683755。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电子招投标的应急措施</w:t>
            </w:r>
          </w:p>
        </w:tc>
        <w:tc>
          <w:tcPr>
            <w:tcW w:w="9017" w:type="dxa"/>
            <w:gridSpan w:val="2"/>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 xml:space="preserve">电子开标、评标如出现下列原因，导致系统无法正常运行或无法正常评标时，应采取应急措施。 </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（1）系统服务器发生故障，无法访问或无法使用系统；</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（2）系统的软件或数据库出现错误，不能进行正常操作；</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（3）系统发现有安全漏洞，有潜在的泄密危险；</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（4）病毒发作或受到外来病毒的攻击；</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（5）采购代理机构的CA锁失效等原因导致无法解密的；</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（6）其他不可抗拒的客观原因造成开评标系统无法正常使用。</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Cs/>
                <w:sz w:val="24"/>
                <w:szCs w:val="24"/>
              </w:rPr>
              <w:t>出现上述情况时，对于未开标的项目应暂停开标，对已在系统内评审的，也应立即停止。相关部门确认问题原因后，由于系统原因造成项目无法评审，可将系统内评审改为PDF版文件（U盘）评审。采取应急措施时，必须对原有资料及信息作妥善保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742" w:type="dxa"/>
            <w:noWrap/>
            <w:vAlign w:val="top"/>
          </w:tcPr>
          <w:p>
            <w:pPr>
              <w:pageBreakBefore w:val="0"/>
              <w:kinsoku/>
              <w:wordWrap/>
              <w:overflowPunct/>
              <w:topLinePunct w:val="0"/>
              <w:autoSpaceDE/>
              <w:autoSpaceDN/>
              <w:bidi w:val="0"/>
              <w:spacing w:beforeAutospacing="0" w:line="44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val="0"/>
                <w:bCs w:val="0"/>
                <w:sz w:val="24"/>
                <w:szCs w:val="24"/>
              </w:rPr>
              <w:t>同一品牌产品相关问题</w:t>
            </w:r>
          </w:p>
        </w:tc>
        <w:tc>
          <w:tcPr>
            <w:tcW w:w="9017" w:type="dxa"/>
            <w:gridSpan w:val="2"/>
            <w:noWrap/>
            <w:vAlign w:val="top"/>
          </w:tcPr>
          <w:p>
            <w:pPr>
              <w:pageBreakBefore w:val="0"/>
              <w:kinsoku/>
              <w:wordWrap/>
              <w:overflowPunct/>
              <w:topLinePunct w:val="0"/>
              <w:autoSpaceDE/>
              <w:autoSpaceDN/>
              <w:bidi w:val="0"/>
              <w:spacing w:beforeAutospacing="0" w:line="440" w:lineRule="exact"/>
              <w:ind w:left="0" w:leftChars="0" w:firstLine="0" w:firstLineChars="0"/>
              <w:jc w:val="left"/>
              <w:rPr>
                <w:rFonts w:hint="eastAsia" w:ascii="宋体" w:hAnsi="宋体" w:eastAsia="宋体" w:cs="宋体"/>
                <w:bCs/>
                <w:sz w:val="24"/>
                <w:szCs w:val="24"/>
              </w:rPr>
            </w:pPr>
            <w:r>
              <w:rPr>
                <w:rFonts w:hint="eastAsia" w:ascii="宋体" w:hAnsi="宋体" w:eastAsia="宋体" w:cs="宋体"/>
                <w:b w:val="0"/>
                <w:bCs w:val="0"/>
                <w:sz w:val="24"/>
                <w:szCs w:val="24"/>
                <w:lang w:val="zh-CN"/>
              </w:rPr>
              <w:t>使用综合评分法的采购项目，提供相同品牌产品且通过资格审查、符合性审查的不同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参加同一合同项下投标的，按一家</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计算，评审后得分最高的同品牌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获得中标人推荐资格；评审得分相同的由</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lang w:val="zh-CN"/>
              </w:rPr>
              <w:t>人或者</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lang w:val="zh-CN"/>
              </w:rPr>
              <w:t>人委托评标委员会按照磋商文件规定的方式确定一个</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获得中标人推荐资格，磋商文件未规定的采取随机抽取方式确定，其他同品牌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spacing w:before="290" w:line="204" w:lineRule="auto"/>
              <w:ind w:left="0" w:leftChars="0" w:firstLine="0" w:firstLineChars="0"/>
              <w:jc w:val="left"/>
              <w:rPr>
                <w:rFonts w:hint="eastAsia" w:ascii="宋体" w:hAnsi="宋体" w:eastAsia="宋体" w:cs="宋体"/>
                <w:b/>
                <w:bCs/>
                <w:sz w:val="24"/>
                <w:szCs w:val="24"/>
              </w:rPr>
            </w:pPr>
            <w:r>
              <w:rPr>
                <w:rFonts w:hint="eastAsia" w:ascii="宋体" w:hAnsi="宋体" w:cs="宋体"/>
                <w:sz w:val="24"/>
                <w:szCs w:val="24"/>
              </w:rPr>
              <w:t>其他说明</w:t>
            </w:r>
          </w:p>
        </w:tc>
        <w:tc>
          <w:tcPr>
            <w:tcW w:w="9017" w:type="dxa"/>
            <w:gridSpan w:val="2"/>
            <w:noWrap/>
            <w:vAlign w:val="top"/>
          </w:tcPr>
          <w:p>
            <w:pPr>
              <w:spacing w:line="360" w:lineRule="auto"/>
              <w:ind w:left="0" w:leftChars="0" w:firstLine="0" w:firstLineChars="0"/>
              <w:jc w:val="left"/>
              <w:rPr>
                <w:rFonts w:hint="eastAsia" w:ascii="宋体" w:hAnsi="宋体" w:eastAsia="宋体" w:cs="宋体"/>
                <w:bCs/>
                <w:sz w:val="24"/>
                <w:szCs w:val="24"/>
              </w:rPr>
            </w:pPr>
            <w:r>
              <w:rPr>
                <w:rFonts w:hint="eastAsia" w:ascii="宋体" w:hAnsi="宋体" w:cs="宋体"/>
                <w:sz w:val="24"/>
                <w:szCs w:val="24"/>
                <w:lang w:val="en-US" w:eastAsia="zh-CN"/>
              </w:rPr>
              <w:t>供应商</w:t>
            </w:r>
            <w:r>
              <w:rPr>
                <w:rFonts w:hint="eastAsia" w:ascii="宋体" w:hAnsi="宋体" w:cs="宋体"/>
                <w:sz w:val="24"/>
                <w:szCs w:val="24"/>
                <w:lang w:val="zh-CN"/>
              </w:rPr>
              <w:t>须保证</w:t>
            </w:r>
            <w:r>
              <w:rPr>
                <w:rFonts w:hint="eastAsia" w:ascii="宋体" w:hAnsi="宋体" w:cs="宋体"/>
                <w:sz w:val="24"/>
                <w:szCs w:val="24"/>
                <w:lang w:val="en-US" w:eastAsia="zh-CN"/>
              </w:rPr>
              <w:t>采购</w:t>
            </w:r>
            <w:r>
              <w:rPr>
                <w:rFonts w:hint="eastAsia" w:ascii="宋体" w:hAnsi="宋体" w:cs="宋体"/>
                <w:sz w:val="24"/>
                <w:szCs w:val="24"/>
                <w:lang w:val="zh-CN"/>
              </w:rPr>
              <w:t>人在使用该服务成果或其任何一部分时不受到第三方关于侵犯专利权、商标权或工业设计权等知识产权的指控。如果任何第三方提出侵权指控与</w:t>
            </w:r>
            <w:r>
              <w:rPr>
                <w:rFonts w:hint="eastAsia" w:ascii="宋体" w:hAnsi="宋体" w:cs="宋体"/>
                <w:sz w:val="24"/>
                <w:szCs w:val="24"/>
                <w:lang w:val="en-US" w:eastAsia="zh-CN"/>
              </w:rPr>
              <w:t>采购</w:t>
            </w:r>
            <w:r>
              <w:rPr>
                <w:rFonts w:hint="eastAsia" w:ascii="宋体" w:hAnsi="宋体" w:cs="宋体"/>
                <w:sz w:val="24"/>
                <w:szCs w:val="24"/>
                <w:lang w:val="zh-CN"/>
              </w:rPr>
              <w:t>人无关，</w:t>
            </w:r>
            <w:r>
              <w:rPr>
                <w:rFonts w:hint="eastAsia" w:ascii="宋体" w:hAnsi="宋体" w:cs="宋体"/>
                <w:sz w:val="24"/>
                <w:szCs w:val="24"/>
                <w:lang w:val="en-US" w:eastAsia="zh-CN"/>
              </w:rPr>
              <w:t>供应商</w:t>
            </w:r>
            <w:r>
              <w:rPr>
                <w:rFonts w:hint="eastAsia" w:ascii="宋体" w:hAnsi="宋体" w:cs="宋体"/>
                <w:sz w:val="24"/>
                <w:szCs w:val="24"/>
                <w:lang w:val="zh-CN"/>
              </w:rPr>
              <w:t>须与第三方交涉并承担可能发生的责任与一切费用。如</w:t>
            </w:r>
            <w:r>
              <w:rPr>
                <w:rFonts w:hint="eastAsia" w:ascii="宋体" w:hAnsi="宋体" w:cs="宋体"/>
                <w:sz w:val="24"/>
                <w:szCs w:val="24"/>
                <w:lang w:val="en-US" w:eastAsia="zh-CN"/>
              </w:rPr>
              <w:t>采购</w:t>
            </w:r>
            <w:r>
              <w:rPr>
                <w:rFonts w:hint="eastAsia" w:ascii="宋体" w:hAnsi="宋体" w:cs="宋体"/>
                <w:sz w:val="24"/>
                <w:szCs w:val="24"/>
                <w:lang w:val="zh-CN"/>
              </w:rPr>
              <w:t>因此而遭致损失的，</w:t>
            </w:r>
            <w:r>
              <w:rPr>
                <w:rFonts w:hint="eastAsia" w:ascii="宋体" w:hAnsi="宋体" w:cs="宋体"/>
                <w:sz w:val="24"/>
                <w:szCs w:val="24"/>
                <w:lang w:val="en-US" w:eastAsia="zh-CN"/>
              </w:rPr>
              <w:t>供应商</w:t>
            </w:r>
            <w:r>
              <w:rPr>
                <w:rFonts w:hint="eastAsia" w:ascii="宋体" w:hAnsi="宋体" w:cs="宋体"/>
                <w:sz w:val="24"/>
                <w:szCs w:val="24"/>
                <w:lang w:val="zh-CN"/>
              </w:rPr>
              <w:t xml:space="preserve">应赔偿该损失。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spacing w:line="360" w:lineRule="auto"/>
              <w:ind w:left="0" w:leftChars="0" w:firstLine="0" w:firstLineChars="0"/>
              <w:jc w:val="left"/>
              <w:rPr>
                <w:rFonts w:hint="eastAsia" w:ascii="宋体" w:hAnsi="宋体" w:eastAsia="宋体" w:cs="宋体"/>
                <w:b/>
                <w:bCs/>
                <w:sz w:val="24"/>
                <w:szCs w:val="24"/>
              </w:rPr>
            </w:pPr>
            <w:r>
              <w:rPr>
                <w:rFonts w:hint="eastAsia" w:ascii="宋体" w:hAnsi="宋体" w:cs="宋体"/>
                <w:b/>
                <w:bCs/>
                <w:sz w:val="24"/>
                <w:szCs w:val="24"/>
              </w:rPr>
              <w:t>信用评价板块</w:t>
            </w:r>
          </w:p>
        </w:tc>
        <w:tc>
          <w:tcPr>
            <w:tcW w:w="9017" w:type="dxa"/>
            <w:gridSpan w:val="2"/>
            <w:noWrap/>
            <w:vAlign w:val="top"/>
          </w:tcPr>
          <w:p>
            <w:pPr>
              <w:spacing w:line="360" w:lineRule="auto"/>
              <w:ind w:left="0" w:leftChars="0" w:firstLine="0" w:firstLineChars="0"/>
              <w:jc w:val="left"/>
              <w:rPr>
                <w:rFonts w:hint="eastAsia" w:ascii="宋体" w:hAnsi="宋体" w:cs="宋体"/>
                <w:b/>
                <w:bCs/>
                <w:spacing w:val="-7"/>
                <w:sz w:val="24"/>
                <w:szCs w:val="24"/>
              </w:rPr>
            </w:pPr>
            <w:r>
              <w:rPr>
                <w:rFonts w:hint="eastAsia" w:ascii="宋体" w:hAnsi="宋体" w:cs="宋体"/>
                <w:b/>
                <w:bCs/>
                <w:spacing w:val="-7"/>
                <w:sz w:val="24"/>
                <w:szCs w:val="24"/>
              </w:rPr>
              <w:t xml:space="preserve">“供应商须在项目开标前，进入菏泽市政府采购公共服务平台（http://ggzypz.heze.gov.cn/），在服务平台点击【菏泽市政采信用管理系统】进入信用系统完成账号注册（已有账号的无需重复注册），登录系统截取当前的信用星级和分数，作为供应商信用情况的参考。在项目评标结束后，供应商需登录菏泽政采信用管理系统，对本次项目的各阶段参与主体完成信用评价并于系统内提交评价结果”。信用系统具体操作步骤详见【菏泽市政采信用管理系统】用户操作手册（http://47.104.12.130:10000/user/login）。 </w:t>
            </w:r>
          </w:p>
          <w:p>
            <w:pPr>
              <w:spacing w:line="360" w:lineRule="auto"/>
              <w:ind w:left="0" w:leftChars="0" w:firstLine="0" w:firstLineChars="0"/>
              <w:jc w:val="left"/>
              <w:rPr>
                <w:rFonts w:hint="eastAsia" w:ascii="宋体" w:hAnsi="宋体" w:eastAsia="宋体" w:cs="宋体"/>
                <w:bCs/>
                <w:sz w:val="24"/>
                <w:szCs w:val="24"/>
              </w:rPr>
            </w:pPr>
            <w:r>
              <w:rPr>
                <w:rFonts w:ascii="宋体" w:hAnsi="宋体" w:cs="宋体"/>
                <w:b/>
                <w:bCs/>
                <w:sz w:val="24"/>
                <w:szCs w:val="24"/>
              </w:rPr>
              <w:t>重要提示：此项要求不作为供应商参与评审的资格项和评分项，不以此项做废标处理。</w:t>
            </w:r>
            <w:r>
              <w:rPr>
                <w:rFonts w:hint="eastAsia" w:ascii="宋体" w:hAnsi="宋体" w:cs="宋体"/>
                <w:b/>
                <w:bCs/>
                <w:spacing w:val="-7"/>
                <w:sz w:val="24"/>
                <w:szCs w:val="24"/>
              </w:rPr>
              <w:t xml:space="preserve">                  </w:t>
            </w:r>
          </w:p>
        </w:tc>
      </w:tr>
    </w:tbl>
    <w:p>
      <w:pPr>
        <w:pStyle w:val="7"/>
        <w:bidi w:val="0"/>
        <w:ind w:left="0" w:leftChars="0" w:firstLine="0" w:firstLineChars="0"/>
        <w:rPr>
          <w:rFonts w:hint="eastAsia" w:ascii="宋体" w:hAnsi="宋体" w:eastAsia="宋体" w:cs="宋体"/>
          <w:sz w:val="24"/>
        </w:rPr>
      </w:pPr>
      <w:r>
        <w:rPr>
          <w:rFonts w:hint="eastAsia" w:ascii="宋体" w:hAnsi="宋体" w:eastAsia="宋体" w:cs="宋体"/>
          <w:szCs w:val="21"/>
        </w:rPr>
        <w:br w:type="page"/>
      </w:r>
      <w:bookmarkStart w:id="13" w:name="_Toc414539103"/>
      <w:r>
        <w:rPr>
          <w:rFonts w:hint="eastAsia" w:ascii="宋体" w:hAnsi="宋体" w:eastAsia="宋体" w:cs="宋体"/>
          <w:b/>
          <w:bCs/>
          <w:sz w:val="24"/>
        </w:rPr>
        <w:t>1.总则</w:t>
      </w:r>
      <w:bookmarkEnd w:id="13"/>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1.1根据《中华人民共和国政府采购法》、《政府采购竞争性磋商采购方式管理暂行办法》等有关法律、法规和规章的规定，本项目已具备采购条件，现采用竞争性磋商的方式对本项目进行采购。</w:t>
      </w:r>
    </w:p>
    <w:p>
      <w:pPr>
        <w:spacing w:line="500" w:lineRule="exact"/>
        <w:ind w:left="0" w:leftChars="0" w:firstLine="0" w:firstLineChars="0"/>
        <w:rPr>
          <w:rFonts w:hint="eastAsia" w:ascii="宋体" w:hAnsi="宋体" w:eastAsia="宋体" w:cs="宋体"/>
          <w:b/>
          <w:bCs/>
        </w:rPr>
      </w:pPr>
      <w:r>
        <w:rPr>
          <w:rFonts w:hint="eastAsia" w:ascii="宋体" w:hAnsi="宋体" w:eastAsia="宋体" w:cs="宋体"/>
          <w:b/>
          <w:bCs/>
          <w:sz w:val="24"/>
        </w:rPr>
        <w:t>1.1 项目概况</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1</w:t>
      </w:r>
      <w:r>
        <w:rPr>
          <w:rFonts w:hint="eastAsia" w:ascii="宋体" w:hAnsi="宋体" w:eastAsia="宋体" w:cs="宋体"/>
          <w:sz w:val="24"/>
        </w:rPr>
        <w:t xml:space="preserve"> 本项目采购人：见供应商须知前附表。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2</w:t>
      </w:r>
      <w:r>
        <w:rPr>
          <w:rFonts w:hint="eastAsia" w:ascii="宋体" w:hAnsi="宋体" w:eastAsia="宋体" w:cs="宋体"/>
          <w:sz w:val="24"/>
        </w:rPr>
        <w:t xml:space="preserve"> 本项目采购代理机构：见供应商须知前附表。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 xml:space="preserve"> 本项目名称：见供应商须知前附表。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 xml:space="preserve"> 本项目服务地点：见供应商须知前附表。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1.2 资金来源</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1.2.1 本项目的资金来源：见供应商须知前附表。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1.3 服务内容、期限和</w:t>
      </w:r>
      <w:r>
        <w:rPr>
          <w:rFonts w:hint="eastAsia" w:cs="宋体"/>
          <w:b/>
          <w:bCs/>
          <w:sz w:val="24"/>
          <w:lang w:val="en-US" w:eastAsia="zh-CN"/>
        </w:rPr>
        <w:t>服务</w:t>
      </w:r>
      <w:r>
        <w:rPr>
          <w:rFonts w:hint="eastAsia" w:ascii="宋体" w:hAnsi="宋体" w:eastAsia="宋体" w:cs="宋体"/>
          <w:b/>
          <w:bCs/>
          <w:sz w:val="24"/>
        </w:rPr>
        <w:t>要求</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1.3.1 本项目服务内容：见供应商须知前附表。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1.3.2 本项目期限：见供应商须知前附表。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1.3.3 本项目</w:t>
      </w:r>
      <w:r>
        <w:rPr>
          <w:rFonts w:hint="eastAsia" w:ascii="宋体" w:hAnsi="宋体" w:eastAsia="宋体" w:cs="宋体"/>
          <w:sz w:val="24"/>
          <w:lang w:val="en-US" w:eastAsia="zh-CN"/>
        </w:rPr>
        <w:t>服务</w:t>
      </w:r>
      <w:r>
        <w:rPr>
          <w:rFonts w:hint="eastAsia" w:ascii="宋体" w:hAnsi="宋体" w:eastAsia="宋体" w:cs="宋体"/>
          <w:sz w:val="24"/>
        </w:rPr>
        <w:t>要求：见供应商须知前附表。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1.4 供应商资格要求：</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1.4.1资格要求：见供应商须知前附表。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1.4.2 供应商不得存在下列情形之一：</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（1）为采购人不具有独立法人资格的附属机构（单位）；</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（2）为本项目的采购人；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（3）为本项目的代建人；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（4）为本项目提供采购代理服务的；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（5）与本项目的采购人或代建人或采购代理机构同为一个供应商法定代表人的；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（6）与本项目的采购人或代建人或采购代理机构相互控股或参股的；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（7）与本项目的采购人或代建人或采购代理机构相互任职或工作的；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（8）被责令停业的；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（9）被暂停或取消资格的；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（10）财产被接管或冻结的；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（11）参加采购活动前三年内，在经营活动中有重大违法记录、严重违约或重大项目质量问题的。</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1.5 费用承担</w:t>
      </w:r>
    </w:p>
    <w:p>
      <w:pPr>
        <w:spacing w:line="480" w:lineRule="exact"/>
        <w:ind w:firstLine="480" w:firstLineChars="200"/>
        <w:rPr>
          <w:rFonts w:hint="eastAsia" w:ascii="宋体" w:hAnsi="宋体" w:eastAsia="宋体" w:cs="宋体"/>
          <w:sz w:val="24"/>
          <w:szCs w:val="24"/>
          <w:highlight w:val="none"/>
        </w:rPr>
      </w:pPr>
      <w:bookmarkStart w:id="14" w:name="_Toc414539104"/>
      <w:r>
        <w:rPr>
          <w:rFonts w:hint="eastAsia" w:ascii="宋体" w:hAnsi="宋体" w:eastAsia="宋体" w:cs="宋体"/>
          <w:sz w:val="24"/>
          <w:szCs w:val="24"/>
          <w:highlight w:val="none"/>
        </w:rPr>
        <w:t>1.5.1</w:t>
      </w:r>
      <w:r>
        <w:rPr>
          <w:rFonts w:hint="eastAsia" w:ascii="宋体" w:hAnsi="宋体" w:eastAsia="宋体" w:cs="宋体"/>
          <w:sz w:val="24"/>
          <w:szCs w:val="24"/>
          <w:highlight w:val="none"/>
          <w:lang w:eastAsia="zh-CN"/>
        </w:rPr>
        <w:t>代理费：</w:t>
      </w:r>
      <w:r>
        <w:rPr>
          <w:rFonts w:hint="eastAsia" w:ascii="宋体" w:hAnsi="宋体" w:eastAsia="宋体" w:cs="宋体"/>
          <w:sz w:val="24"/>
          <w:szCs w:val="24"/>
          <w:highlight w:val="none"/>
          <w:lang w:val="en-US" w:eastAsia="zh-CN"/>
        </w:rPr>
        <w:t>详见供应商须知前附表</w:t>
      </w:r>
      <w:r>
        <w:rPr>
          <w:rFonts w:hint="eastAsia" w:cs="宋体"/>
          <w:sz w:val="24"/>
          <w:szCs w:val="24"/>
          <w:highlight w:val="none"/>
          <w:lang w:val="en-US" w:eastAsia="zh-CN"/>
        </w:rPr>
        <w:t>。</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应承担其编制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与递交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所涉及的一切费用。不论投标结果如何，招标人和招标代理机构在任何情况下无义务也无责任承担这些费用。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1.6 保密</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参与竞争性磋商活动的各方应对竞争性磋商文件和响应文件中的商业和技术等秘密保密，违者应对由此造成的后果承担法律责任。</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1.7 语言文字</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除专用术语外，与本次竞争性磋商报价有关的语言均使用中文。必要时专用术语应附有中文注释。</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1.8 计量单位</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1.9 踏勘现场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1.9.1 采购人不统一组织供应商踏勘项目现场，各供应商自行踏勘现场，因供应商未踏勘现场引起的风险后果由供应商自行承担。</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1.9.2 供应商踏勘现场发生的费用自理。</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1.9.3 供应商自行负责在踏勘现场中所发生的人员伤亡和财产损失。</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1.9.4 供应商无论是否勘察现场，都将被认为已了解本项目的现场情况，掌握了编制响应文件的能力。</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1.10预备会</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本项目不召开预备会。</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1.11转包、分包</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禁止项目转包和分包。项目实施过程中发现存在项目转包及分包情况，采购人有权立即终止合同，由此造成的损失由供应商自行承担。</w:t>
      </w:r>
    </w:p>
    <w:p>
      <w:pPr>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1.12 偏离</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不允许偏离</w:t>
      </w: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1.1</w:t>
      </w: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 xml:space="preserve">其它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1.13.1</w:t>
      </w:r>
      <w:r>
        <w:rPr>
          <w:rFonts w:hint="eastAsia" w:ascii="宋体" w:hAnsi="宋体" w:eastAsia="宋体" w:cs="宋体"/>
          <w:sz w:val="24"/>
          <w:szCs w:val="24"/>
        </w:rPr>
        <w:t>无论投标过程中的做法和结果如何，</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均应自行承担所有与参加投标有关的全部费用。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1.13.2</w:t>
      </w:r>
      <w:r>
        <w:rPr>
          <w:rFonts w:hint="eastAsia" w:ascii="宋体" w:hAnsi="宋体" w:eastAsia="宋体" w:cs="宋体"/>
          <w:sz w:val="24"/>
          <w:szCs w:val="24"/>
        </w:rPr>
        <w:t>无论投标结果如何，采购人或采购代理机构均无向</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解释其中标/未中标原因的义务。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1.13.3</w:t>
      </w:r>
      <w:r>
        <w:rPr>
          <w:rFonts w:hint="eastAsia" w:ascii="宋体" w:hAnsi="宋体" w:eastAsia="宋体" w:cs="宋体"/>
          <w:sz w:val="24"/>
          <w:szCs w:val="24"/>
        </w:rPr>
        <w:t>无论投标结果如何，</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不予退还。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1.13.4</w:t>
      </w:r>
      <w:r>
        <w:rPr>
          <w:rFonts w:hint="eastAsia" w:ascii="宋体" w:hAnsi="宋体" w:eastAsia="宋体" w:cs="宋体"/>
          <w:sz w:val="24"/>
          <w:szCs w:val="24"/>
        </w:rPr>
        <w:t>无论中标与否，已获取标书的</w:t>
      </w:r>
      <w:r>
        <w:rPr>
          <w:rFonts w:hint="eastAsia" w:ascii="宋体" w:hAnsi="宋体" w:eastAsia="宋体" w:cs="宋体"/>
          <w:sz w:val="24"/>
          <w:szCs w:val="24"/>
          <w:lang w:eastAsia="zh-CN"/>
        </w:rPr>
        <w:t>供应商</w:t>
      </w:r>
      <w:r>
        <w:rPr>
          <w:rFonts w:hint="eastAsia" w:ascii="宋体" w:hAnsi="宋体" w:eastAsia="宋体" w:cs="宋体"/>
          <w:sz w:val="24"/>
          <w:szCs w:val="24"/>
        </w:rPr>
        <w:t>对</w:t>
      </w:r>
      <w:r>
        <w:rPr>
          <w:rFonts w:hint="eastAsia" w:ascii="宋体" w:hAnsi="宋体" w:eastAsia="宋体" w:cs="宋体"/>
          <w:sz w:val="24"/>
          <w:szCs w:val="24"/>
          <w:lang w:eastAsia="zh-CN"/>
        </w:rPr>
        <w:t>竞争性磋商文件</w:t>
      </w:r>
      <w:r>
        <w:rPr>
          <w:rFonts w:hint="eastAsia" w:ascii="宋体" w:hAnsi="宋体" w:eastAsia="宋体" w:cs="宋体"/>
          <w:sz w:val="24"/>
          <w:szCs w:val="24"/>
        </w:rPr>
        <w:t xml:space="preserve">负保密责任。 </w:t>
      </w:r>
    </w:p>
    <w:p>
      <w:pPr>
        <w:pStyle w:val="7"/>
        <w:spacing w:line="500" w:lineRule="exact"/>
        <w:ind w:left="0" w:leftChars="0" w:firstLine="0" w:firstLineChars="0"/>
        <w:rPr>
          <w:rFonts w:hint="eastAsia" w:ascii="宋体" w:hAnsi="宋体" w:eastAsia="宋体" w:cs="宋体"/>
          <w:sz w:val="24"/>
          <w:szCs w:val="24"/>
        </w:rPr>
      </w:pPr>
      <w:bookmarkStart w:id="15" w:name="_Toc25581"/>
      <w:r>
        <w:rPr>
          <w:rFonts w:hint="eastAsia" w:ascii="宋体" w:hAnsi="宋体" w:eastAsia="宋体" w:cs="宋体"/>
          <w:sz w:val="24"/>
          <w:szCs w:val="24"/>
        </w:rPr>
        <w:t>2.竞争性磋商文件</w:t>
      </w:r>
      <w:bookmarkEnd w:id="14"/>
      <w:bookmarkEnd w:id="15"/>
    </w:p>
    <w:p>
      <w:pPr>
        <w:spacing w:line="500" w:lineRule="exact"/>
        <w:rPr>
          <w:rFonts w:hint="eastAsia" w:ascii="宋体" w:hAnsi="宋体" w:eastAsia="宋体" w:cs="宋体"/>
          <w:sz w:val="24"/>
        </w:rPr>
      </w:pPr>
      <w:r>
        <w:rPr>
          <w:rFonts w:hint="eastAsia" w:ascii="宋体" w:hAnsi="宋体" w:eastAsia="宋体" w:cs="宋体"/>
          <w:sz w:val="24"/>
        </w:rPr>
        <w:t>2.1 竞争性磋商文件的组成</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w:t>
      </w:r>
      <w:r>
        <w:rPr>
          <w:rStyle w:val="26"/>
          <w:rFonts w:hint="eastAsia" w:ascii="宋体" w:hAnsi="宋体" w:eastAsia="宋体" w:cs="宋体"/>
          <w:color w:val="auto"/>
          <w:sz w:val="24"/>
          <w:lang w:val="zh-CN"/>
        </w:rPr>
        <w:t>竞争性磋商公告</w:t>
      </w:r>
      <w:r>
        <w:rPr>
          <w:rFonts w:hint="eastAsia" w:ascii="宋体" w:hAnsi="宋体" w:eastAsia="宋体" w:cs="宋体"/>
          <w:sz w:val="24"/>
        </w:rPr>
        <w:t>；</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（2）供应商须知；</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（3）竞争性磋商办法；</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（4）合同条款；</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（5）项目技术服务内容及</w:t>
      </w:r>
      <w:r>
        <w:rPr>
          <w:rFonts w:hint="eastAsia" w:cs="宋体"/>
          <w:sz w:val="24"/>
          <w:lang w:val="en-US" w:eastAsia="zh-CN"/>
        </w:rPr>
        <w:t>技术参数</w:t>
      </w:r>
      <w:r>
        <w:rPr>
          <w:rFonts w:hint="eastAsia" w:ascii="宋体" w:hAnsi="宋体" w:eastAsia="宋体" w:cs="宋体"/>
          <w:sz w:val="24"/>
        </w:rPr>
        <w:t>；</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（6）响应文件格式。</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lang w:eastAsia="zh-CN"/>
        </w:rPr>
        <w:t>供应商</w:t>
      </w:r>
      <w:r>
        <w:rPr>
          <w:rFonts w:hint="eastAsia" w:ascii="宋体" w:hAnsi="宋体" w:eastAsia="宋体" w:cs="宋体"/>
          <w:sz w:val="24"/>
          <w:szCs w:val="24"/>
        </w:rPr>
        <w:t>应认真阅读</w:t>
      </w:r>
      <w:r>
        <w:rPr>
          <w:rFonts w:hint="eastAsia" w:ascii="宋体" w:hAnsi="宋体" w:eastAsia="宋体" w:cs="宋体"/>
          <w:sz w:val="24"/>
          <w:szCs w:val="24"/>
          <w:lang w:eastAsia="zh-CN"/>
        </w:rPr>
        <w:t>竞争性磋商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w:t>
      </w:r>
      <w:r>
        <w:rPr>
          <w:rFonts w:hint="eastAsia" w:ascii="宋体" w:hAnsi="宋体" w:eastAsia="宋体" w:cs="宋体"/>
          <w:sz w:val="24"/>
          <w:szCs w:val="24"/>
          <w:lang w:val="en-US" w:eastAsia="zh-CN"/>
        </w:rPr>
        <w:t>全部内容</w:t>
      </w:r>
      <w:r>
        <w:rPr>
          <w:rFonts w:hint="eastAsia" w:ascii="宋体" w:hAnsi="宋体" w:eastAsia="宋体" w:cs="宋体"/>
          <w:sz w:val="24"/>
          <w:szCs w:val="24"/>
        </w:rPr>
        <w:t>。如果没有按照</w:t>
      </w:r>
      <w:r>
        <w:rPr>
          <w:rFonts w:hint="eastAsia" w:ascii="宋体" w:hAnsi="宋体" w:eastAsia="宋体" w:cs="宋体"/>
          <w:sz w:val="24"/>
          <w:szCs w:val="24"/>
          <w:lang w:eastAsia="zh-CN"/>
        </w:rPr>
        <w:t>竞争性磋商</w:t>
      </w:r>
      <w:r>
        <w:rPr>
          <w:rFonts w:hint="eastAsia" w:ascii="宋体" w:hAnsi="宋体" w:eastAsia="宋体" w:cs="宋体"/>
          <w:sz w:val="24"/>
          <w:szCs w:val="24"/>
        </w:rPr>
        <w:t>要求提交全部资料或者</w:t>
      </w:r>
      <w:r>
        <w:rPr>
          <w:rFonts w:hint="eastAsia" w:ascii="宋体" w:hAnsi="宋体" w:eastAsia="宋体" w:cs="宋体"/>
          <w:sz w:val="24"/>
          <w:szCs w:val="24"/>
          <w:lang w:eastAsia="zh-CN"/>
        </w:rPr>
        <w:t>响应文件</w:t>
      </w:r>
      <w:r>
        <w:rPr>
          <w:rFonts w:hint="eastAsia" w:ascii="宋体" w:hAnsi="宋体" w:eastAsia="宋体" w:cs="宋体"/>
          <w:sz w:val="24"/>
          <w:szCs w:val="24"/>
        </w:rPr>
        <w:t>没有对</w:t>
      </w:r>
      <w:r>
        <w:rPr>
          <w:rFonts w:hint="eastAsia" w:ascii="宋体" w:hAnsi="宋体" w:eastAsia="宋体" w:cs="宋体"/>
          <w:sz w:val="24"/>
          <w:szCs w:val="24"/>
          <w:lang w:eastAsia="zh-CN"/>
        </w:rPr>
        <w:t>竞争性磋商</w:t>
      </w:r>
      <w:r>
        <w:rPr>
          <w:rFonts w:hint="eastAsia" w:ascii="宋体" w:hAnsi="宋体" w:eastAsia="宋体" w:cs="宋体"/>
          <w:sz w:val="24"/>
          <w:szCs w:val="24"/>
        </w:rPr>
        <w:t>作出实质性响应，该投标有可能被拒绝，其风险应由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根据本章第2.2款和第2.3款对</w:t>
      </w:r>
      <w:r>
        <w:rPr>
          <w:rFonts w:hint="eastAsia" w:ascii="宋体" w:hAnsi="宋体" w:eastAsia="宋体" w:cs="宋体"/>
          <w:sz w:val="24"/>
          <w:szCs w:val="24"/>
          <w:lang w:eastAsia="zh-CN"/>
        </w:rPr>
        <w:t>竞争性磋商</w:t>
      </w:r>
      <w:r>
        <w:rPr>
          <w:rFonts w:hint="eastAsia" w:ascii="宋体" w:hAnsi="宋体" w:eastAsia="宋体" w:cs="宋体"/>
          <w:sz w:val="24"/>
          <w:szCs w:val="24"/>
        </w:rPr>
        <w:t>所作的澄清、修改，构成</w:t>
      </w:r>
      <w:r>
        <w:rPr>
          <w:rFonts w:hint="eastAsia" w:ascii="宋体" w:hAnsi="宋体" w:eastAsia="宋体" w:cs="宋体"/>
          <w:sz w:val="24"/>
          <w:szCs w:val="24"/>
          <w:lang w:eastAsia="zh-CN"/>
        </w:rPr>
        <w:t>竞争性磋商</w:t>
      </w:r>
      <w:r>
        <w:rPr>
          <w:rFonts w:hint="eastAsia" w:ascii="宋体" w:hAnsi="宋体" w:eastAsia="宋体" w:cs="宋体"/>
          <w:sz w:val="24"/>
          <w:szCs w:val="24"/>
        </w:rPr>
        <w:t>的组成部分</w:t>
      </w:r>
    </w:p>
    <w:p>
      <w:pPr>
        <w:spacing w:line="500" w:lineRule="exact"/>
        <w:rPr>
          <w:rFonts w:hint="eastAsia" w:ascii="宋体" w:hAnsi="宋体" w:eastAsia="宋体" w:cs="宋体"/>
          <w:sz w:val="24"/>
        </w:rPr>
      </w:pPr>
      <w:r>
        <w:rPr>
          <w:rFonts w:hint="eastAsia" w:ascii="宋体" w:hAnsi="宋体" w:eastAsia="宋体" w:cs="宋体"/>
          <w:sz w:val="24"/>
        </w:rPr>
        <w:t>2.2 竞争性磋商文件的澄清、修改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b w:val="0"/>
          <w:bCs/>
          <w:kern w:val="0"/>
          <w:sz w:val="24"/>
          <w:szCs w:val="24"/>
          <w:highlight w:val="none"/>
          <w:lang w:val="en-US" w:eastAsia="zh-CN"/>
        </w:rPr>
        <w:t>竞争性磋商文件一经在中国山东政府采购网、菏泽市政府采购公共服务平台、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赢标电子招标采购交易平台http://hz.fzbidding.com/发布，视作已发放给所有供应商（发布时间即为发出磋商文件的时间），各供应商应随时关注项目信息并及时在中国山东政府采购网、菏泽市政府采购公共服务平台、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赢标电子招标采购交易平台http://hz.fzbidding.com/下载电子版竞争性磋商文件和各类澄清答疑，否则所造成的一切后果由供应商自负。</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2.2.2 </w:t>
      </w:r>
      <w:r>
        <w:rPr>
          <w:rFonts w:hint="eastAsia" w:ascii="宋体" w:hAnsi="宋体" w:eastAsia="宋体" w:cs="宋体"/>
          <w:sz w:val="24"/>
          <w:szCs w:val="24"/>
          <w:lang w:eastAsia="zh-CN"/>
        </w:rPr>
        <w:t>供应商</w:t>
      </w:r>
      <w:r>
        <w:rPr>
          <w:rFonts w:hint="eastAsia" w:ascii="宋体" w:hAnsi="宋体" w:eastAsia="宋体" w:cs="宋体"/>
          <w:sz w:val="24"/>
          <w:szCs w:val="24"/>
        </w:rPr>
        <w:t>在获取</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后，应仔细阅读和检查</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的全部内容。如发现缺页或附件不全，应及时向</w:t>
      </w:r>
      <w:r>
        <w:rPr>
          <w:rFonts w:hint="eastAsia" w:ascii="宋体" w:hAnsi="宋体" w:eastAsia="宋体" w:cs="宋体"/>
          <w:sz w:val="24"/>
          <w:szCs w:val="24"/>
          <w:lang w:eastAsia="zh-CN"/>
        </w:rPr>
        <w:t>采购人</w:t>
      </w:r>
      <w:r>
        <w:rPr>
          <w:rFonts w:hint="eastAsia" w:ascii="宋体" w:hAnsi="宋体" w:eastAsia="宋体" w:cs="宋体"/>
          <w:sz w:val="24"/>
          <w:szCs w:val="24"/>
        </w:rPr>
        <w:t>提出，以便补齐。如有疑问，应在</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须知前附表规定的时间、形式，要求</w:t>
      </w:r>
      <w:r>
        <w:rPr>
          <w:rFonts w:hint="eastAsia" w:ascii="宋体" w:hAnsi="宋体" w:eastAsia="宋体" w:cs="宋体"/>
          <w:sz w:val="24"/>
          <w:szCs w:val="24"/>
          <w:lang w:eastAsia="zh-CN"/>
        </w:rPr>
        <w:t>采购人</w:t>
      </w:r>
      <w:r>
        <w:rPr>
          <w:rFonts w:hint="eastAsia" w:ascii="宋体" w:hAnsi="宋体" w:eastAsia="宋体" w:cs="宋体"/>
          <w:sz w:val="24"/>
          <w:szCs w:val="24"/>
        </w:rPr>
        <w:t>对</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予以澄清。</w:t>
      </w:r>
      <w:r>
        <w:rPr>
          <w:rFonts w:hint="eastAsia" w:ascii="宋体" w:hAnsi="宋体" w:eastAsia="宋体" w:cs="宋体"/>
          <w:sz w:val="24"/>
          <w:szCs w:val="24"/>
          <w:lang w:eastAsia="zh-CN"/>
        </w:rPr>
        <w:t>供应商</w:t>
      </w:r>
      <w:r>
        <w:rPr>
          <w:rFonts w:hint="eastAsia" w:ascii="宋体" w:hAnsi="宋体" w:eastAsia="宋体" w:cs="宋体"/>
          <w:sz w:val="24"/>
          <w:szCs w:val="24"/>
        </w:rPr>
        <w:t>如不提出疑问，</w:t>
      </w:r>
      <w:r>
        <w:rPr>
          <w:rFonts w:hint="eastAsia" w:ascii="宋体" w:hAnsi="宋体" w:eastAsia="宋体" w:cs="宋体"/>
          <w:sz w:val="24"/>
          <w:szCs w:val="24"/>
          <w:lang w:eastAsia="zh-CN"/>
        </w:rPr>
        <w:t>采购人</w:t>
      </w:r>
      <w:r>
        <w:rPr>
          <w:rFonts w:hint="eastAsia" w:ascii="宋体" w:hAnsi="宋体" w:eastAsia="宋体" w:cs="宋体"/>
          <w:sz w:val="24"/>
          <w:szCs w:val="24"/>
        </w:rPr>
        <w:t>及代理公司将视为完全认同</w:t>
      </w:r>
      <w:r>
        <w:rPr>
          <w:rFonts w:hint="eastAsia" w:ascii="宋体" w:hAnsi="宋体" w:eastAsia="宋体" w:cs="宋体"/>
          <w:sz w:val="24"/>
          <w:szCs w:val="24"/>
          <w:lang w:eastAsia="zh-CN"/>
        </w:rPr>
        <w:t>竞争性磋商文件</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2.2.3提交首次</w:t>
      </w:r>
      <w:r>
        <w:rPr>
          <w:rFonts w:hint="eastAsia" w:ascii="宋体" w:hAnsi="宋体" w:eastAsia="宋体" w:cs="宋体"/>
          <w:sz w:val="24"/>
          <w:szCs w:val="24"/>
          <w:lang w:eastAsia="zh-CN"/>
        </w:rPr>
        <w:t>响应文件</w:t>
      </w:r>
      <w:r>
        <w:rPr>
          <w:rFonts w:hint="eastAsia" w:ascii="宋体" w:hAnsi="宋体" w:eastAsia="宋体" w:cs="宋体"/>
          <w:sz w:val="24"/>
          <w:szCs w:val="24"/>
        </w:rPr>
        <w:t>截止之日前，</w:t>
      </w:r>
      <w:r>
        <w:rPr>
          <w:rFonts w:hint="eastAsia" w:ascii="宋体" w:hAnsi="宋体" w:eastAsia="宋体" w:cs="宋体"/>
          <w:sz w:val="24"/>
          <w:szCs w:val="24"/>
          <w:lang w:eastAsia="zh-CN"/>
        </w:rPr>
        <w:t>采购人</w:t>
      </w:r>
      <w:r>
        <w:rPr>
          <w:rFonts w:hint="eastAsia" w:ascii="宋体" w:hAnsi="宋体" w:eastAsia="宋体" w:cs="宋体"/>
          <w:sz w:val="24"/>
          <w:szCs w:val="24"/>
        </w:rPr>
        <w:t>、代理机构可以对已发出的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进行必要的澄清或者修改，澄清或者修改的内容作为</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的组成部分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w:t>
      </w:r>
      <w:r>
        <w:rPr>
          <w:rFonts w:hint="eastAsia" w:ascii="宋体" w:hAnsi="宋体" w:eastAsia="宋体" w:cs="宋体"/>
          <w:sz w:val="24"/>
          <w:szCs w:val="24"/>
        </w:rPr>
        <w:t>澄清、修改的内容发布在相关平台，请各供应商自行查阅下载。澄清或者修改的内容可能影响</w:t>
      </w:r>
      <w:r>
        <w:rPr>
          <w:rFonts w:hint="eastAsia" w:ascii="宋体" w:hAnsi="宋体" w:eastAsia="宋体" w:cs="宋体"/>
          <w:sz w:val="24"/>
          <w:szCs w:val="24"/>
          <w:lang w:eastAsia="zh-CN"/>
        </w:rPr>
        <w:t>响应文件</w:t>
      </w:r>
      <w:r>
        <w:rPr>
          <w:rFonts w:hint="eastAsia" w:ascii="宋体" w:hAnsi="宋体" w:eastAsia="宋体" w:cs="宋体"/>
          <w:sz w:val="24"/>
          <w:szCs w:val="24"/>
        </w:rPr>
        <w:t>编制的，</w:t>
      </w:r>
      <w:r>
        <w:rPr>
          <w:rFonts w:hint="eastAsia" w:ascii="宋体" w:hAnsi="宋体" w:eastAsia="宋体" w:cs="宋体"/>
          <w:sz w:val="24"/>
          <w:szCs w:val="24"/>
          <w:lang w:eastAsia="zh-CN"/>
        </w:rPr>
        <w:t>采购人</w:t>
      </w:r>
      <w:r>
        <w:rPr>
          <w:rFonts w:hint="eastAsia" w:ascii="宋体" w:hAnsi="宋体" w:eastAsia="宋体" w:cs="宋体"/>
          <w:sz w:val="24"/>
          <w:szCs w:val="24"/>
        </w:rPr>
        <w:t>、代理机构应当顺延提交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2.2.4</w:t>
      </w:r>
      <w:r>
        <w:rPr>
          <w:rFonts w:hint="eastAsia" w:ascii="宋体" w:hAnsi="宋体" w:eastAsia="宋体" w:cs="宋体"/>
          <w:sz w:val="24"/>
          <w:szCs w:val="24"/>
          <w:lang w:eastAsia="zh-CN"/>
        </w:rPr>
        <w:t>采购人</w:t>
      </w:r>
      <w:r>
        <w:rPr>
          <w:rFonts w:hint="eastAsia" w:ascii="宋体" w:hAnsi="宋体" w:eastAsia="宋体" w:cs="宋体"/>
          <w:sz w:val="24"/>
          <w:szCs w:val="24"/>
        </w:rPr>
        <w:t>或代理机构对疑问提交截止前收到的任何澄清要求将按照</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须知前附表规定的时间作出答复。对参与本项目的</w:t>
      </w:r>
      <w:r>
        <w:rPr>
          <w:rFonts w:hint="eastAsia" w:ascii="宋体" w:hAnsi="宋体" w:eastAsia="宋体" w:cs="宋体"/>
          <w:sz w:val="24"/>
          <w:szCs w:val="24"/>
          <w:lang w:eastAsia="zh-CN"/>
        </w:rPr>
        <w:t>供应商</w:t>
      </w:r>
      <w:r>
        <w:rPr>
          <w:rFonts w:hint="eastAsia" w:ascii="宋体" w:hAnsi="宋体" w:eastAsia="宋体" w:cs="宋体"/>
          <w:sz w:val="24"/>
          <w:szCs w:val="24"/>
        </w:rPr>
        <w:t>提出的问题的答复是</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的组成部分。</w:t>
      </w:r>
      <w:bookmarkStart w:id="16" w:name="_Toc414539105"/>
      <w:r>
        <w:rPr>
          <w:rFonts w:hint="eastAsia" w:ascii="宋体" w:hAnsi="宋体" w:eastAsia="宋体" w:cs="宋体"/>
          <w:sz w:val="24"/>
          <w:szCs w:val="24"/>
        </w:rPr>
        <w:t xml:space="preserve">    </w:t>
      </w:r>
    </w:p>
    <w:bookmarkEnd w:id="16"/>
    <w:p>
      <w:pPr>
        <w:pStyle w:val="7"/>
        <w:numPr>
          <w:ilvl w:val="0"/>
          <w:numId w:val="0"/>
        </w:numPr>
        <w:spacing w:line="500" w:lineRule="exact"/>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响应文件</w:t>
      </w:r>
    </w:p>
    <w:p>
      <w:pPr>
        <w:spacing w:line="500" w:lineRule="exact"/>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3.1响应文件的组成</w:t>
      </w:r>
    </w:p>
    <w:p>
      <w:p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供应商应按竞争性磋商规定的内容和格式编制并提交响应文件，响应文件内容组成必须完整，至少包含以下内容：</w:t>
      </w:r>
    </w:p>
    <w:p>
      <w:pPr>
        <w:spacing w:line="500" w:lineRule="exact"/>
        <w:ind w:firstLine="480" w:firstLineChars="200"/>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"_Toc367286147" </w:instrText>
      </w:r>
      <w:r>
        <w:rPr>
          <w:rFonts w:hint="eastAsia" w:ascii="宋体" w:hAnsi="宋体" w:eastAsia="宋体" w:cs="宋体"/>
        </w:rPr>
        <w:fldChar w:fldCharType="separate"/>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报价函</w:t>
      </w:r>
      <w:r>
        <w:rPr>
          <w:rFonts w:hint="eastAsia" w:ascii="宋体" w:hAnsi="宋体" w:eastAsia="宋体" w:cs="宋体"/>
          <w:sz w:val="24"/>
        </w:rPr>
        <w:fldChar w:fldCharType="end"/>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报价一览表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法定代表人及委托人身份证明</w:t>
      </w:r>
    </w:p>
    <w:p>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cs="宋体"/>
          <w:sz w:val="24"/>
          <w:lang w:val="en-US" w:eastAsia="zh-CN"/>
        </w:rPr>
        <w:t>报价明细表</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\l "_Toc367286158"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资格审查</w:t>
      </w:r>
      <w:r>
        <w:rPr>
          <w:rFonts w:hint="eastAsia" w:ascii="宋体" w:hAnsi="宋体" w:eastAsia="宋体" w:cs="宋体"/>
          <w:sz w:val="24"/>
          <w:lang w:eastAsia="zh-CN"/>
        </w:rPr>
        <w:fldChar w:fldCharType="end"/>
      </w:r>
      <w:r>
        <w:rPr>
          <w:rFonts w:hint="eastAsia" w:ascii="宋体" w:hAnsi="宋体" w:eastAsia="宋体" w:cs="宋体"/>
          <w:sz w:val="24"/>
          <w:lang w:eastAsia="zh-CN"/>
        </w:rPr>
        <w:t>资料</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技术</w:t>
      </w:r>
      <w:r>
        <w:rPr>
          <w:rFonts w:hint="eastAsia" w:ascii="宋体" w:hAnsi="宋体" w:eastAsia="宋体" w:cs="宋体"/>
          <w:sz w:val="24"/>
          <w:lang w:eastAsia="zh-CN"/>
        </w:rPr>
        <w:t>方案</w:t>
      </w:r>
    </w:p>
    <w:p>
      <w:pPr>
        <w:spacing w:line="500" w:lineRule="exact"/>
        <w:ind w:firstLine="480" w:firstLineChars="200"/>
        <w:rPr>
          <w:rFonts w:hint="default" w:ascii="宋体" w:hAnsi="宋体" w:eastAsia="宋体" w:cs="宋体"/>
          <w:sz w:val="24"/>
          <w:lang w:val="en-US" w:eastAsia="zh-CN"/>
        </w:rPr>
      </w:pPr>
      <w:r>
        <w:rPr>
          <w:rFonts w:hint="eastAsia" w:cs="宋体"/>
          <w:sz w:val="24"/>
          <w:lang w:val="en-US" w:eastAsia="zh-CN"/>
        </w:rPr>
        <w:t>（7）</w:t>
      </w:r>
      <w:r>
        <w:rPr>
          <w:rFonts w:hint="eastAsia" w:ascii="宋体" w:hAnsi="宋体" w:eastAsia="宋体" w:cs="宋体"/>
          <w:sz w:val="24"/>
          <w:lang w:val="en-US" w:eastAsia="zh-CN"/>
        </w:rPr>
        <w:t>商务偏离表</w:t>
      </w:r>
    </w:p>
    <w:p>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lang w:val="en-US" w:eastAsia="zh-CN"/>
        </w:rPr>
        <w:t>菏泽市政府采购供应商资格信用承诺函</w:t>
      </w:r>
    </w:p>
    <w:p>
      <w:pPr>
        <w:spacing w:line="500" w:lineRule="exact"/>
        <w:ind w:left="480" w:leftChars="200" w:firstLine="0" w:firstLineChars="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cs="宋体"/>
          <w:sz w:val="24"/>
          <w:lang w:val="en-US" w:eastAsia="zh-CN"/>
        </w:rPr>
        <w:t>9</w:t>
      </w:r>
      <w:r>
        <w:rPr>
          <w:rFonts w:hint="eastAsia" w:ascii="宋体" w:hAnsi="宋体" w:eastAsia="宋体" w:cs="宋体"/>
          <w:sz w:val="24"/>
          <w:lang w:eastAsia="zh-CN"/>
        </w:rPr>
        <w:t>）供应商认为需要提供的其他资料</w:t>
      </w:r>
      <w:r>
        <w:rPr>
          <w:rFonts w:hint="eastAsia" w:ascii="宋体" w:hAnsi="宋体" w:eastAsia="宋体" w:cs="宋体"/>
          <w:sz w:val="24"/>
          <w:lang w:eastAsia="zh-CN"/>
        </w:rPr>
        <w:br w:type="textWrapping"/>
      </w:r>
      <w:r>
        <w:rPr>
          <w:rFonts w:hint="eastAsia" w:ascii="宋体" w:hAnsi="宋体" w:eastAsia="宋体" w:cs="宋体"/>
          <w:sz w:val="24"/>
          <w:lang w:eastAsia="zh-CN"/>
        </w:rPr>
        <w:t>（</w:t>
      </w:r>
      <w:r>
        <w:rPr>
          <w:rFonts w:hint="eastAsia" w:cs="宋体"/>
          <w:sz w:val="24"/>
          <w:lang w:val="en-US" w:eastAsia="zh-CN"/>
        </w:rPr>
        <w:t>10</w:t>
      </w:r>
      <w:r>
        <w:rPr>
          <w:rFonts w:hint="eastAsia" w:ascii="宋体" w:hAnsi="宋体" w:eastAsia="宋体" w:cs="宋体"/>
          <w:sz w:val="24"/>
          <w:lang w:eastAsia="zh-CN"/>
        </w:rPr>
        <w:t>）</w:t>
      </w:r>
      <w:r>
        <w:rPr>
          <w:rFonts w:hint="eastAsia" w:ascii="宋体" w:hAnsi="宋体" w:eastAsia="宋体" w:cs="宋体"/>
          <w:sz w:val="24"/>
          <w:lang w:val="en-US" w:eastAsia="zh-CN"/>
        </w:rPr>
        <w:t>中小企业声明函</w:t>
      </w:r>
    </w:p>
    <w:p>
      <w:pPr>
        <w:spacing w:line="48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应使用</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提供的格式，但表格可以按同样格式扩展。</w:t>
      </w:r>
    </w:p>
    <w:p>
      <w:pPr>
        <w:spacing w:line="480" w:lineRule="exact"/>
        <w:ind w:firstLine="480" w:firstLineChars="200"/>
        <w:rPr>
          <w:rFonts w:hint="eastAsia" w:ascii="宋体" w:hAnsi="宋体" w:eastAsia="宋体" w:cs="宋体"/>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应认真审阅</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中所有的</w:t>
      </w: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须知、合同条款和规定格式。如果</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编制的</w:t>
      </w:r>
      <w:r>
        <w:rPr>
          <w:rFonts w:hint="eastAsia" w:ascii="宋体" w:hAnsi="宋体" w:eastAsia="宋体" w:cs="宋体"/>
          <w:b w:val="0"/>
          <w:bCs/>
          <w:sz w:val="24"/>
          <w:szCs w:val="24"/>
          <w:highlight w:val="none"/>
          <w:lang w:eastAsia="zh-CN"/>
        </w:rPr>
        <w:t>响应文件</w:t>
      </w:r>
      <w:r>
        <w:rPr>
          <w:rFonts w:hint="eastAsia" w:ascii="宋体" w:hAnsi="宋体" w:eastAsia="宋体" w:cs="宋体"/>
          <w:b w:val="0"/>
          <w:bCs/>
          <w:sz w:val="24"/>
          <w:szCs w:val="24"/>
          <w:highlight w:val="none"/>
        </w:rPr>
        <w:t>实质上不响应</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要求，其</w:t>
      </w:r>
      <w:r>
        <w:rPr>
          <w:rFonts w:hint="eastAsia" w:ascii="宋体" w:hAnsi="宋体" w:eastAsia="宋体" w:cs="宋体"/>
          <w:b w:val="0"/>
          <w:bCs/>
          <w:sz w:val="24"/>
          <w:szCs w:val="24"/>
          <w:highlight w:val="none"/>
          <w:lang w:eastAsia="zh-CN"/>
        </w:rPr>
        <w:t>响应文件</w:t>
      </w:r>
      <w:r>
        <w:rPr>
          <w:rFonts w:hint="eastAsia" w:ascii="宋体" w:hAnsi="宋体" w:eastAsia="宋体" w:cs="宋体"/>
          <w:b w:val="0"/>
          <w:bCs/>
          <w:sz w:val="24"/>
          <w:szCs w:val="24"/>
          <w:highlight w:val="none"/>
        </w:rPr>
        <w:t>将被拒绝。</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3.2 构成响应文件的其他材料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3.2.1 按照磋商小组要求递交的澄清、补充、修改及说明。</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3.3响应文件报价要求</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3.3.1供应商应按照竞争性磋商文件的具体要求编写响应文件，并对其提交的响应文件的真实性、合法性承担法律责任。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3.3.2供应商应对竞争性磋商文件内所要采购的全部内容进行报价，只投其中部分内容者，则响应文件无效；报价内容只允许填一个报价，采购人不接受任何有选择性的报价。</w:t>
      </w:r>
    </w:p>
    <w:p>
      <w:pPr>
        <w:spacing w:line="500" w:lineRule="exact"/>
        <w:ind w:firstLine="410" w:firstLineChars="171"/>
        <w:rPr>
          <w:rFonts w:hint="eastAsia" w:ascii="宋体" w:hAnsi="宋体" w:eastAsia="宋体" w:cs="宋体"/>
          <w:sz w:val="24"/>
          <w:highlight w:val="none"/>
        </w:rPr>
      </w:pPr>
      <w:r>
        <w:rPr>
          <w:rFonts w:hint="eastAsia" w:ascii="宋体" w:hAnsi="宋体" w:eastAsia="宋体" w:cs="宋体"/>
          <w:sz w:val="24"/>
          <w:highlight w:val="none"/>
          <w:lang w:val="en-US" w:eastAsia="zh-CN"/>
        </w:rPr>
        <w:t>3.3.3</w:t>
      </w:r>
      <w:r>
        <w:rPr>
          <w:rFonts w:hint="eastAsia" w:cs="宋体"/>
          <w:sz w:val="24"/>
          <w:highlight w:val="none"/>
          <w:lang w:eastAsia="zh-CN"/>
        </w:rPr>
        <w:t>供应商</w:t>
      </w:r>
      <w:r>
        <w:rPr>
          <w:rFonts w:hint="eastAsia" w:ascii="宋体" w:hAnsi="宋体" w:eastAsia="宋体" w:cs="宋体"/>
          <w:sz w:val="24"/>
          <w:highlight w:val="none"/>
        </w:rPr>
        <w:t>应结合本单位及本</w:t>
      </w:r>
      <w:r>
        <w:rPr>
          <w:rFonts w:hint="eastAsia" w:cs="宋体"/>
          <w:sz w:val="24"/>
          <w:highlight w:val="none"/>
          <w:lang w:val="en-US" w:eastAsia="zh-CN"/>
        </w:rPr>
        <w:t>项目</w:t>
      </w:r>
      <w:r>
        <w:rPr>
          <w:rFonts w:hint="eastAsia" w:ascii="宋体" w:hAnsi="宋体" w:eastAsia="宋体" w:cs="宋体"/>
          <w:sz w:val="24"/>
          <w:highlight w:val="none"/>
        </w:rPr>
        <w:t>的实际情况，充分考虑市场因素，确定完成本</w:t>
      </w:r>
      <w:r>
        <w:rPr>
          <w:rFonts w:hint="eastAsia" w:cs="宋体"/>
          <w:sz w:val="24"/>
          <w:highlight w:val="none"/>
          <w:lang w:val="en-US" w:eastAsia="zh-CN"/>
        </w:rPr>
        <w:t>项目</w:t>
      </w:r>
      <w:r>
        <w:rPr>
          <w:rFonts w:hint="eastAsia" w:ascii="宋体" w:hAnsi="宋体" w:eastAsia="宋体" w:cs="宋体"/>
          <w:sz w:val="24"/>
          <w:highlight w:val="none"/>
        </w:rPr>
        <w:t>的全部费用。</w:t>
      </w:r>
    </w:p>
    <w:p>
      <w:pPr>
        <w:spacing w:line="500" w:lineRule="exact"/>
        <w:ind w:firstLine="410" w:firstLineChars="171"/>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3.3.4</w:t>
      </w:r>
      <w:r>
        <w:rPr>
          <w:rFonts w:hint="eastAsia" w:ascii="宋体" w:hAnsi="宋体" w:eastAsia="宋体" w:cs="宋体"/>
          <w:sz w:val="24"/>
          <w:highlight w:val="none"/>
        </w:rPr>
        <w:t>本项目服务费用报价是完成本项目所产生的所有费用（包括但不限于：服务费、人工费、差旅费、加班费、利润、不可预见费及完成服务内容所需的一切费用）</w:t>
      </w:r>
      <w:r>
        <w:rPr>
          <w:rFonts w:hint="eastAsia" w:cs="宋体"/>
          <w:sz w:val="24"/>
          <w:highlight w:val="none"/>
          <w:lang w:eastAsia="zh-CN"/>
        </w:rPr>
        <w:t>，</w:t>
      </w:r>
      <w:r>
        <w:rPr>
          <w:rFonts w:hint="eastAsia" w:cs="宋体"/>
          <w:sz w:val="24"/>
          <w:highlight w:val="none"/>
          <w:lang w:val="en-US" w:eastAsia="zh-CN"/>
        </w:rPr>
        <w:t>。供应商根据本企业成本、利润、风险等因素自主报价。凡供应商在报价中未列明但又为货物所必备的项目或遗漏项目，采购单位将一律视为已包括在其报价中，在合同执行中将不予考虑。</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3.4竞争性磋商文件有效期</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.1 在</w:t>
      </w:r>
      <w:r>
        <w:rPr>
          <w:rFonts w:hint="eastAsia" w:ascii="宋体" w:hAnsi="宋体" w:eastAsia="宋体" w:cs="宋体"/>
          <w:sz w:val="24"/>
          <w:lang w:eastAsia="zh-CN"/>
        </w:rPr>
        <w:t>供应商</w:t>
      </w:r>
      <w:r>
        <w:rPr>
          <w:rFonts w:hint="eastAsia" w:ascii="宋体" w:hAnsi="宋体" w:eastAsia="宋体" w:cs="宋体"/>
          <w:sz w:val="24"/>
        </w:rPr>
        <w:t>须知前附表规定的投标有效期内，</w:t>
      </w:r>
      <w:r>
        <w:rPr>
          <w:rFonts w:hint="eastAsia" w:ascii="宋体" w:hAnsi="宋体" w:eastAsia="宋体" w:cs="宋体"/>
          <w:sz w:val="24"/>
          <w:lang w:eastAsia="zh-CN"/>
        </w:rPr>
        <w:t>供应商</w:t>
      </w:r>
      <w:r>
        <w:rPr>
          <w:rFonts w:hint="eastAsia" w:ascii="宋体" w:hAnsi="宋体" w:eastAsia="宋体" w:cs="宋体"/>
          <w:sz w:val="24"/>
        </w:rPr>
        <w:t>不得要求撤销或修改其</w:t>
      </w:r>
      <w:r>
        <w:rPr>
          <w:rFonts w:hint="eastAsia" w:ascii="宋体" w:hAnsi="宋体" w:eastAsia="宋体" w:cs="宋体"/>
          <w:sz w:val="24"/>
          <w:lang w:eastAsia="zh-CN"/>
        </w:rPr>
        <w:t>响应文件</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.2出现特殊情况需要延长</w:t>
      </w:r>
      <w:r>
        <w:rPr>
          <w:rFonts w:hint="eastAsia" w:ascii="宋体" w:hAnsi="宋体" w:eastAsia="宋体" w:cs="宋体"/>
          <w:sz w:val="24"/>
          <w:lang w:eastAsia="zh-CN"/>
        </w:rPr>
        <w:t>报价文件</w:t>
      </w:r>
      <w:r>
        <w:rPr>
          <w:rFonts w:hint="eastAsia" w:ascii="宋体" w:hAnsi="宋体" w:eastAsia="宋体" w:cs="宋体"/>
          <w:sz w:val="24"/>
        </w:rPr>
        <w:t>有效期的，采购人以书面形式通知所有供应商延长有效期。供应商同意延长的，不得要求或被允许修改或撤销其</w:t>
      </w:r>
      <w:r>
        <w:rPr>
          <w:rFonts w:hint="eastAsia" w:ascii="宋体" w:hAnsi="宋体" w:eastAsia="宋体" w:cs="宋体"/>
          <w:sz w:val="24"/>
          <w:lang w:eastAsia="zh-CN"/>
        </w:rPr>
        <w:t>报价文件</w:t>
      </w:r>
      <w:r>
        <w:rPr>
          <w:rFonts w:hint="eastAsia" w:ascii="宋体" w:hAnsi="宋体" w:eastAsia="宋体" w:cs="宋体"/>
          <w:sz w:val="24"/>
        </w:rPr>
        <w:t>；供应商拒绝延长的，其</w:t>
      </w:r>
      <w:r>
        <w:rPr>
          <w:rFonts w:hint="eastAsia" w:ascii="宋体" w:hAnsi="宋体" w:eastAsia="宋体" w:cs="宋体"/>
          <w:sz w:val="24"/>
          <w:lang w:eastAsia="zh-CN"/>
        </w:rPr>
        <w:t>报价文件</w:t>
      </w:r>
      <w:r>
        <w:rPr>
          <w:rFonts w:hint="eastAsia" w:ascii="宋体" w:hAnsi="宋体" w:eastAsia="宋体" w:cs="宋体"/>
          <w:sz w:val="24"/>
        </w:rPr>
        <w:t>失效。</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3.5 资格审查资料</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在编制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文件时，应按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文件要求提供相关资料，以证实其各项资格条件满足本要求，具备完成本项目的施工能力。在</w:t>
      </w:r>
      <w:r>
        <w:rPr>
          <w:rFonts w:hint="eastAsia" w:ascii="宋体" w:hAnsi="宋体" w:eastAsia="宋体" w:cs="宋体"/>
          <w:sz w:val="24"/>
          <w:szCs w:val="24"/>
          <w:lang w:val="en-US" w:eastAsia="zh-CN"/>
        </w:rPr>
        <w:t>磋商</w:t>
      </w:r>
      <w:r>
        <w:rPr>
          <w:rFonts w:hint="eastAsia" w:ascii="宋体" w:hAnsi="宋体" w:eastAsia="宋体" w:cs="宋体"/>
          <w:sz w:val="24"/>
          <w:szCs w:val="24"/>
        </w:rPr>
        <w:t>过程中，</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名称发生变更的，必须提供企业所在地工商行政管理部门出具的相关证明，否则其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文件将被拒绝</w:t>
      </w:r>
      <w:r>
        <w:rPr>
          <w:rFonts w:hint="eastAsia" w:ascii="宋体" w:hAnsi="宋体" w:eastAsia="宋体" w:cs="宋体"/>
          <w:sz w:val="24"/>
        </w:rPr>
        <w:t>。</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3.6响应文件的编制</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3.6.1响应文件应按第六章“响应文件格式”进行编写，如有必要，可以增加附页，作为响应文件的组成部分。</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3.6.2响应文件应当对竞争性磋商文件有关期限、</w:t>
      </w:r>
      <w:r>
        <w:rPr>
          <w:rFonts w:hint="eastAsia" w:cs="宋体"/>
          <w:sz w:val="24"/>
          <w:lang w:val="en-US" w:eastAsia="zh-CN"/>
        </w:rPr>
        <w:t>服务</w:t>
      </w:r>
      <w:r>
        <w:rPr>
          <w:rFonts w:hint="eastAsia" w:ascii="宋体" w:hAnsi="宋体" w:eastAsia="宋体" w:cs="宋体"/>
          <w:sz w:val="24"/>
        </w:rPr>
        <w:t>要求、</w:t>
      </w:r>
      <w:r>
        <w:rPr>
          <w:rFonts w:hint="eastAsia" w:cs="宋体"/>
          <w:sz w:val="24"/>
          <w:lang w:val="en-US" w:eastAsia="zh-CN"/>
        </w:rPr>
        <w:t>服务</w:t>
      </w:r>
      <w:r>
        <w:rPr>
          <w:rFonts w:hint="eastAsia" w:ascii="宋体" w:hAnsi="宋体" w:eastAsia="宋体" w:cs="宋体"/>
          <w:sz w:val="24"/>
        </w:rPr>
        <w:t>内容等实质性内容作出响应。</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3.6.3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应由法定代表人或其授权委托人签字或盖章并加盖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签字或盖章的具体要求见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须知前附表。 </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3.6.4 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应按照统一的“电子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制作工具”以及</w:t>
      </w:r>
      <w:r>
        <w:rPr>
          <w:rFonts w:hint="eastAsia" w:cs="宋体"/>
          <w:sz w:val="24"/>
          <w:szCs w:val="24"/>
          <w:highlight w:val="none"/>
          <w:lang w:val="en-US" w:eastAsia="zh-CN"/>
        </w:rPr>
        <w:t>磋商</w:t>
      </w:r>
      <w:r>
        <w:rPr>
          <w:rFonts w:hint="eastAsia" w:ascii="宋体" w:hAnsi="宋体" w:eastAsia="宋体" w:cs="宋体"/>
          <w:sz w:val="24"/>
          <w:szCs w:val="24"/>
          <w:highlight w:val="none"/>
        </w:rPr>
        <w:t xml:space="preserve">文件要求进行制作编制。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制作时，应按照</w:t>
      </w:r>
      <w:r>
        <w:rPr>
          <w:rFonts w:hint="eastAsia" w:cs="宋体"/>
          <w:sz w:val="24"/>
          <w:szCs w:val="24"/>
          <w:highlight w:val="none"/>
          <w:lang w:val="en-US" w:eastAsia="zh-CN"/>
        </w:rPr>
        <w:t>磋商</w:t>
      </w:r>
      <w:r>
        <w:rPr>
          <w:rFonts w:hint="eastAsia" w:ascii="宋体" w:hAnsi="宋体" w:eastAsia="宋体" w:cs="宋体"/>
          <w:sz w:val="24"/>
          <w:szCs w:val="24"/>
          <w:highlight w:val="none"/>
        </w:rPr>
        <w:t>文件中明确的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目录和格式进行编制，保证目录清晰、内容完整，不同内容按标签提示导入。</w:t>
      </w:r>
    </w:p>
    <w:p>
      <w:pPr>
        <w:spacing w:line="480" w:lineRule="exact"/>
        <w:ind w:firstLine="480" w:firstLineChars="200"/>
        <w:rPr>
          <w:rFonts w:hint="eastAsia"/>
        </w:rPr>
      </w:pPr>
      <w:r>
        <w:rPr>
          <w:rFonts w:hint="eastAsia" w:ascii="宋体" w:hAnsi="宋体" w:eastAsia="宋体" w:cs="宋体"/>
          <w:sz w:val="24"/>
          <w:szCs w:val="24"/>
          <w:highlight w:val="none"/>
          <w:lang w:val="en-US" w:eastAsia="zh-CN"/>
        </w:rPr>
        <w:t>3.6.5</w:t>
      </w:r>
      <w:r>
        <w:rPr>
          <w:rFonts w:hint="eastAsia" w:ascii="宋体" w:hAnsi="宋体" w:eastAsia="宋体" w:cs="宋体"/>
          <w:sz w:val="24"/>
          <w:szCs w:val="24"/>
          <w:highlight w:val="none"/>
        </w:rPr>
        <w:t>电子</w:t>
      </w:r>
      <w:r>
        <w:rPr>
          <w:rFonts w:hint="eastAsia" w:cs="宋体"/>
          <w:sz w:val="24"/>
          <w:szCs w:val="24"/>
          <w:highlight w:val="none"/>
          <w:lang w:val="en-US" w:eastAsia="zh-CN"/>
        </w:rPr>
        <w:t>磋商</w:t>
      </w:r>
      <w:r>
        <w:rPr>
          <w:rFonts w:hint="eastAsia" w:ascii="宋体" w:hAnsi="宋体" w:eastAsia="宋体" w:cs="宋体"/>
          <w:sz w:val="24"/>
          <w:szCs w:val="24"/>
          <w:highlight w:val="none"/>
        </w:rPr>
        <w:t>文件、电子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具有法律效力，与其他形式的</w:t>
      </w:r>
      <w:r>
        <w:rPr>
          <w:rFonts w:hint="eastAsia" w:cs="宋体"/>
          <w:sz w:val="24"/>
          <w:szCs w:val="24"/>
          <w:highlight w:val="none"/>
          <w:lang w:val="en-US" w:eastAsia="zh-CN"/>
        </w:rPr>
        <w:t>磋商</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在内容和格式上等同，若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与</w:t>
      </w:r>
      <w:r>
        <w:rPr>
          <w:rFonts w:hint="eastAsia" w:cs="宋体"/>
          <w:sz w:val="24"/>
          <w:szCs w:val="24"/>
          <w:highlight w:val="none"/>
          <w:lang w:val="en-US" w:eastAsia="zh-CN"/>
        </w:rPr>
        <w:t>磋商</w:t>
      </w:r>
      <w:r>
        <w:rPr>
          <w:rFonts w:hint="eastAsia" w:ascii="宋体" w:hAnsi="宋体" w:eastAsia="宋体" w:cs="宋体"/>
          <w:sz w:val="24"/>
          <w:szCs w:val="24"/>
          <w:highlight w:val="none"/>
        </w:rPr>
        <w:t>文件要求不一致，其内容影响中标结果时，责任由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自行承担。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递交的电子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自身原因而导致无法导入电子辅助评标系统的，该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视为无效</w:t>
      </w:r>
      <w:r>
        <w:rPr>
          <w:rFonts w:hint="eastAsia" w:ascii="宋体" w:hAnsi="宋体" w:eastAsia="宋体" w:cs="宋体"/>
          <w:sz w:val="24"/>
          <w:szCs w:val="24"/>
          <w:highlight w:val="none"/>
          <w:lang w:eastAsia="zh-CN"/>
        </w:rPr>
        <w:t>响应文件。</w:t>
      </w:r>
    </w:p>
    <w:p>
      <w:pPr>
        <w:pStyle w:val="7"/>
        <w:spacing w:line="500" w:lineRule="exact"/>
        <w:ind w:left="0" w:leftChars="0" w:firstLine="0" w:firstLineChars="0"/>
        <w:rPr>
          <w:rFonts w:hint="eastAsia" w:ascii="宋体" w:hAnsi="宋体" w:eastAsia="宋体" w:cs="宋体"/>
          <w:sz w:val="24"/>
          <w:szCs w:val="24"/>
        </w:rPr>
      </w:pPr>
      <w:bookmarkStart w:id="17" w:name="_Toc2428"/>
      <w:bookmarkStart w:id="18" w:name="_Toc414539106"/>
      <w:r>
        <w:rPr>
          <w:rFonts w:hint="eastAsia" w:ascii="宋体" w:hAnsi="宋体" w:eastAsia="宋体" w:cs="宋体"/>
          <w:sz w:val="24"/>
          <w:szCs w:val="24"/>
        </w:rPr>
        <w:t>4.</w:t>
      </w:r>
      <w:bookmarkEnd w:id="17"/>
      <w:bookmarkEnd w:id="18"/>
      <w:r>
        <w:rPr>
          <w:rFonts w:hint="eastAsia" w:ascii="宋体" w:hAnsi="宋体" w:eastAsia="宋体" w:cs="宋体"/>
          <w:sz w:val="24"/>
          <w:szCs w:val="24"/>
        </w:rPr>
        <w:t>响应文件的递交</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4.1响应文件的递交截止时间及地点</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4.1.1供应商递交响应文件的截止时间：见供应商须知前附表。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4.1.2 供应商递交响应文件的地点：见供应商须知前附表。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4.1.3供应商所递交的响应文件不予退还。</w:t>
      </w:r>
    </w:p>
    <w:p>
      <w:pPr>
        <w:spacing w:line="500" w:lineRule="exact"/>
        <w:ind w:firstLine="410" w:firstLineChars="171"/>
        <w:rPr>
          <w:rFonts w:hint="eastAsia" w:ascii="宋体" w:hAnsi="宋体" w:eastAsia="宋体" w:cs="宋体"/>
          <w:bCs/>
          <w:sz w:val="24"/>
        </w:rPr>
      </w:pPr>
      <w:r>
        <w:rPr>
          <w:rFonts w:hint="eastAsia" w:ascii="宋体" w:hAnsi="宋体" w:eastAsia="宋体" w:cs="宋体"/>
          <w:bCs/>
          <w:sz w:val="24"/>
        </w:rPr>
        <w:t>4.1.4逾期送达的或者未送达指定地点的响应文件，代理机构不予受理。</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4.2响应文件的修改与撤回</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2</w:t>
      </w:r>
      <w:r>
        <w:rPr>
          <w:rFonts w:hint="eastAsia" w:ascii="宋体" w:hAnsi="宋体" w:eastAsia="宋体" w:cs="宋体"/>
          <w:sz w:val="24"/>
        </w:rPr>
        <w:t>.1 在</w:t>
      </w:r>
      <w:r>
        <w:rPr>
          <w:rFonts w:hint="eastAsia" w:ascii="宋体" w:hAnsi="宋体" w:eastAsia="宋体" w:cs="宋体"/>
          <w:sz w:val="24"/>
          <w:lang w:eastAsia="zh-CN"/>
        </w:rPr>
        <w:t>供应商</w:t>
      </w:r>
      <w:r>
        <w:rPr>
          <w:rFonts w:hint="eastAsia" w:ascii="宋体" w:hAnsi="宋体" w:eastAsia="宋体" w:cs="宋体"/>
          <w:sz w:val="24"/>
        </w:rPr>
        <w:t>须知前附表规定的投标截止时间前，</w:t>
      </w:r>
      <w:r>
        <w:rPr>
          <w:rFonts w:hint="eastAsia" w:ascii="宋体" w:hAnsi="宋体" w:eastAsia="宋体" w:cs="宋体"/>
          <w:sz w:val="24"/>
          <w:lang w:eastAsia="zh-CN"/>
        </w:rPr>
        <w:t>供应商</w:t>
      </w:r>
      <w:r>
        <w:rPr>
          <w:rFonts w:hint="eastAsia" w:ascii="宋体" w:hAnsi="宋体" w:eastAsia="宋体" w:cs="宋体"/>
          <w:sz w:val="24"/>
        </w:rPr>
        <w:t>可以修改或撤回已递交的</w:t>
      </w:r>
      <w:r>
        <w:rPr>
          <w:rFonts w:hint="eastAsia" w:ascii="宋体" w:hAnsi="宋体" w:eastAsia="宋体" w:cs="宋体"/>
          <w:sz w:val="24"/>
          <w:lang w:eastAsia="zh-CN"/>
        </w:rPr>
        <w:t>响应文件</w:t>
      </w:r>
      <w:r>
        <w:rPr>
          <w:rFonts w:hint="eastAsia" w:ascii="宋体" w:hAnsi="宋体" w:eastAsia="宋体" w:cs="宋体"/>
          <w:sz w:val="24"/>
        </w:rPr>
        <w:t>。</w:t>
      </w:r>
    </w:p>
    <w:p>
      <w:pPr>
        <w:spacing w:line="500" w:lineRule="exact"/>
        <w:ind w:firstLine="410" w:firstLineChars="171"/>
        <w:rPr>
          <w:rFonts w:hint="eastAsia" w:ascii="宋体" w:hAnsi="宋体" w:eastAsia="宋体" w:cs="宋体"/>
        </w:rPr>
      </w:pPr>
      <w:r>
        <w:rPr>
          <w:rFonts w:hint="eastAsia" w:ascii="宋体" w:hAnsi="宋体" w:eastAsia="宋体" w:cs="宋体"/>
          <w:sz w:val="24"/>
        </w:rPr>
        <w:t>4.</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 xml:space="preserve"> 响应文件的修改与撤回</w:t>
      </w:r>
      <w:r>
        <w:rPr>
          <w:rFonts w:hint="eastAsia" w:ascii="宋体" w:hAnsi="宋体" w:eastAsia="宋体" w:cs="宋体"/>
          <w:sz w:val="24"/>
          <w:lang w:val="en-US" w:eastAsia="zh-CN"/>
        </w:rPr>
        <w:t>按照赢标电子招标采购交易平台（菏泽专区）</w:t>
      </w:r>
      <w:r>
        <w:rPr>
          <w:rFonts w:hint="eastAsia" w:ascii="宋体" w:hAnsi="宋体" w:eastAsia="宋体" w:cs="宋体"/>
          <w:sz w:val="24"/>
          <w:lang w:eastAsia="zh-CN"/>
        </w:rPr>
        <w:t>http://hz.fzbidding.com/</w:t>
      </w:r>
      <w:r>
        <w:rPr>
          <w:rFonts w:hint="eastAsia" w:ascii="宋体" w:hAnsi="宋体" w:eastAsia="宋体" w:cs="宋体"/>
          <w:sz w:val="24"/>
          <w:lang w:val="en-US" w:eastAsia="zh-CN"/>
        </w:rPr>
        <w:t>相关规定执行。</w:t>
      </w:r>
    </w:p>
    <w:p>
      <w:pPr>
        <w:pStyle w:val="7"/>
        <w:spacing w:line="480" w:lineRule="exact"/>
        <w:ind w:left="0" w:leftChars="0" w:firstLine="0" w:firstLineChars="0"/>
        <w:rPr>
          <w:rFonts w:hint="eastAsia" w:ascii="宋体" w:hAnsi="宋体" w:eastAsia="宋体" w:cs="宋体"/>
          <w:sz w:val="24"/>
          <w:szCs w:val="24"/>
          <w:lang w:val="en-US" w:eastAsia="zh-CN"/>
        </w:rPr>
      </w:pPr>
      <w:bookmarkStart w:id="19" w:name="_Toc15008"/>
      <w:r>
        <w:rPr>
          <w:rFonts w:hint="eastAsia" w:ascii="宋体" w:hAnsi="宋体" w:eastAsia="宋体" w:cs="宋体"/>
          <w:sz w:val="24"/>
          <w:szCs w:val="24"/>
          <w:lang w:val="en-US" w:eastAsia="zh-CN"/>
        </w:rPr>
        <w:t>5.</w:t>
      </w:r>
      <w:r>
        <w:rPr>
          <w:rFonts w:hint="eastAsia" w:ascii="宋体" w:hAnsi="宋体" w:eastAsia="宋体" w:cs="宋体"/>
          <w:sz w:val="24"/>
          <w:szCs w:val="24"/>
        </w:rPr>
        <w:t>评审办法</w:t>
      </w:r>
    </w:p>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具体内容详见本文件第三章</w:t>
      </w:r>
    </w:p>
    <w:p>
      <w:pPr>
        <w:spacing w:line="500" w:lineRule="exact"/>
        <w:ind w:left="0" w:leftChars="0" w:firstLine="0" w:firstLineChars="0"/>
        <w:rPr>
          <w:rFonts w:hint="eastAsia" w:ascii="宋体" w:hAnsi="宋体" w:eastAsia="宋体" w:cs="宋体"/>
          <w:b/>
          <w:sz w:val="24"/>
        </w:rPr>
      </w:pPr>
      <w:r>
        <w:rPr>
          <w:rFonts w:hint="eastAsia" w:ascii="宋体" w:hAnsi="宋体" w:eastAsia="宋体" w:cs="宋体"/>
          <w:b/>
          <w:sz w:val="24"/>
        </w:rPr>
        <w:t>6. 磋商</w:t>
      </w:r>
      <w:bookmarkEnd w:id="19"/>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6.1 磋商小组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6.1.1</w:t>
      </w:r>
      <w:r>
        <w:rPr>
          <w:rFonts w:hint="eastAsia" w:ascii="宋体" w:hAnsi="宋体" w:eastAsia="宋体" w:cs="宋体"/>
          <w:sz w:val="24"/>
          <w:szCs w:val="24"/>
          <w:lang w:val="en-US" w:eastAsia="zh-CN"/>
        </w:rPr>
        <w:t>磋商小组</w:t>
      </w:r>
      <w:r>
        <w:rPr>
          <w:rFonts w:hint="eastAsia" w:ascii="宋体" w:hAnsi="宋体" w:eastAsia="宋体" w:cs="宋体"/>
          <w:sz w:val="24"/>
          <w:szCs w:val="24"/>
          <w:lang w:val="zh-CN"/>
        </w:rPr>
        <w:t>由</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人组成。</w:t>
      </w:r>
      <w:r>
        <w:rPr>
          <w:rFonts w:hint="eastAsia" w:ascii="宋体" w:hAnsi="宋体" w:eastAsia="宋体" w:cs="宋体"/>
          <w:sz w:val="24"/>
          <w:szCs w:val="24"/>
          <w:lang w:val="zh-CN" w:eastAsia="zh-CN"/>
        </w:rPr>
        <w:t>其中，</w:t>
      </w:r>
      <w:r>
        <w:rPr>
          <w:rFonts w:hint="eastAsia" w:ascii="宋体" w:hAnsi="宋体" w:eastAsia="宋体" w:cs="宋体"/>
          <w:sz w:val="24"/>
          <w:szCs w:val="24"/>
          <w:lang w:val="en-US" w:eastAsia="zh-CN"/>
        </w:rPr>
        <w:t>采购人</w:t>
      </w:r>
      <w:r>
        <w:rPr>
          <w:rFonts w:hint="eastAsia" w:ascii="宋体" w:hAnsi="宋体" w:eastAsia="宋体" w:cs="宋体"/>
          <w:sz w:val="24"/>
          <w:szCs w:val="24"/>
          <w:lang w:val="zh-CN"/>
        </w:rPr>
        <w:t>代表</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名，其余</w:t>
      </w:r>
      <w:r>
        <w:rPr>
          <w:rFonts w:hint="eastAsia" w:ascii="宋体" w:hAnsi="宋体" w:eastAsia="宋体" w:cs="宋体"/>
          <w:sz w:val="24"/>
          <w:szCs w:val="24"/>
          <w:lang w:val="en-US" w:eastAsia="zh-CN"/>
        </w:rPr>
        <w:t>2名</w:t>
      </w:r>
      <w:r>
        <w:rPr>
          <w:rFonts w:hint="eastAsia" w:ascii="宋体" w:hAnsi="宋体" w:eastAsia="宋体" w:cs="宋体"/>
          <w:sz w:val="24"/>
          <w:szCs w:val="24"/>
          <w:lang w:val="zh-CN"/>
        </w:rPr>
        <w:t>成员从山东省政府采购信息公开平台专家库中随机抽取。</w:t>
      </w:r>
      <w:r>
        <w:rPr>
          <w:rFonts w:hint="eastAsia" w:ascii="宋体" w:hAnsi="宋体" w:eastAsia="宋体" w:cs="宋体"/>
          <w:kern w:val="0"/>
          <w:sz w:val="24"/>
          <w:highlight w:val="none"/>
          <w:lang w:val="zh-CN"/>
        </w:rPr>
        <w:t>其中技术、经济等方面的专家不少于成员总数的三分之二</w:t>
      </w:r>
      <w:r>
        <w:rPr>
          <w:rFonts w:hint="eastAsia" w:ascii="宋体" w:hAnsi="宋体" w:eastAsia="宋体" w:cs="宋体"/>
          <w:sz w:val="24"/>
          <w:szCs w:val="24"/>
        </w:rPr>
        <w:t>，评审小组开始工作之前应由评审小组推举产生一名组长，负责协调、组织评审小组成员开展评标工作。</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6.1.2 磋商小组成员有下列情形之一的，应当回避：</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（1）采购人或供应商的主要负责人的近亲属；</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（2）与供应商有经济利益关系，可能影响公正磋商的；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（3）曾因在采购、磋商以及其他与采购有关活动中从事违法行为而受过行政处罚或刑事处罚的。</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6.2 磋商原则</w:t>
      </w:r>
    </w:p>
    <w:p>
      <w:pPr>
        <w:spacing w:line="500" w:lineRule="exact"/>
        <w:ind w:firstLine="480"/>
        <w:rPr>
          <w:rFonts w:hint="eastAsia" w:ascii="宋体" w:hAnsi="宋体" w:eastAsia="宋体" w:cs="宋体"/>
          <w:sz w:val="24"/>
        </w:rPr>
      </w:pPr>
      <w:r>
        <w:rPr>
          <w:rFonts w:hint="eastAsia" w:ascii="宋体" w:hAnsi="宋体" w:eastAsia="宋体" w:cs="宋体"/>
          <w:sz w:val="24"/>
        </w:rPr>
        <w:t>磋商活动遵循公平、公正、科学和择优的原则。磋商小组按照这一原则的要求，平等地对待各参加磋商供应商。同时，在磋商过程中恪守以下原则：</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（1）客观性原则：磋商小组将严格按照竞争性磋商文件要求的内容，对参加磋商供应商的响应文件进行认真评审；磋商小组对响应文件的评审仅依靠竞争性磋商文件本身，而不依靠其他的任何因素。</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（2）统一性原则：磋商小组将按照统一的磋商原则和评审方法，对各参加磋商供应商的竞争性磋商文件进行综合评审。</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（3）独立性原则：评审工作在磋商小组内部独立进行，不受外界任何因素的干扰和影响。磋商小组成员对出具的专家意见承担个人责任。</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（4）保密性原则：磋商小组成员及有关工作人员将保守参加磋商供应商的商业秘密。</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（5）综合性原则：磋商小组将综合分析、评审参加磋商供应商的各项指标，而不以单项指标的优劣评定成交供应商。</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（6）集体决定的原则：由磋商小组集体讨论确定成交供应商。</w:t>
      </w:r>
    </w:p>
    <w:p>
      <w:pPr>
        <w:spacing w:line="500" w:lineRule="exact"/>
        <w:ind w:left="0" w:leftChars="0" w:firstLine="0" w:firstLineChars="0"/>
        <w:rPr>
          <w:rFonts w:hint="eastAsia" w:ascii="宋体" w:hAnsi="宋体" w:eastAsia="宋体" w:cs="宋体"/>
          <w:sz w:val="24"/>
        </w:rPr>
      </w:pPr>
      <w:bookmarkStart w:id="20" w:name="_Toc285809501"/>
      <w:r>
        <w:rPr>
          <w:rFonts w:hint="eastAsia" w:ascii="宋体" w:hAnsi="宋体" w:eastAsia="宋体" w:cs="宋体"/>
          <w:b/>
          <w:bCs/>
          <w:sz w:val="24"/>
        </w:rPr>
        <w:t>6.3 评审纪律</w:t>
      </w:r>
      <w:bookmarkEnd w:id="20"/>
      <w:r>
        <w:rPr>
          <w:rFonts w:hint="eastAsia" w:ascii="宋体" w:hAnsi="宋体" w:eastAsia="宋体" w:cs="宋体"/>
          <w:sz w:val="24"/>
        </w:rPr>
        <w:tab/>
      </w:r>
    </w:p>
    <w:p>
      <w:pPr>
        <w:spacing w:line="500" w:lineRule="exact"/>
        <w:ind w:firstLine="480"/>
        <w:rPr>
          <w:rFonts w:hint="eastAsia" w:ascii="宋体" w:hAnsi="宋体" w:eastAsia="宋体" w:cs="宋体"/>
          <w:sz w:val="24"/>
        </w:rPr>
      </w:pPr>
      <w:r>
        <w:rPr>
          <w:rFonts w:hint="eastAsia" w:ascii="宋体" w:hAnsi="宋体" w:eastAsia="宋体" w:cs="宋体"/>
          <w:sz w:val="24"/>
        </w:rPr>
        <w:t>6.3.1 为了规范评审活动，保证评审的公平、公正，维护政府采购活动当事人的合法权益，依据《中华人民共和国政府采购法》等国家有关法律、法规制定本规定。</w:t>
      </w:r>
    </w:p>
    <w:p>
      <w:pPr>
        <w:spacing w:line="500" w:lineRule="exact"/>
        <w:ind w:firstLine="480"/>
        <w:rPr>
          <w:rFonts w:hint="eastAsia" w:ascii="宋体" w:hAnsi="宋体" w:eastAsia="宋体" w:cs="宋体"/>
          <w:sz w:val="24"/>
        </w:rPr>
      </w:pPr>
      <w:r>
        <w:rPr>
          <w:rFonts w:hint="eastAsia" w:ascii="宋体" w:hAnsi="宋体" w:eastAsia="宋体" w:cs="宋体"/>
          <w:sz w:val="24"/>
        </w:rPr>
        <w:t>6.3.2 评审活动遵循公平、公正、科学、择优的原则依法进行，任何单位和个人不得非法干预或影响评标过程和结果。</w:t>
      </w:r>
    </w:p>
    <w:p>
      <w:pPr>
        <w:spacing w:line="500" w:lineRule="exact"/>
        <w:ind w:firstLine="480"/>
        <w:rPr>
          <w:rFonts w:hint="eastAsia" w:ascii="宋体" w:hAnsi="宋体" w:eastAsia="宋体" w:cs="宋体"/>
          <w:sz w:val="24"/>
        </w:rPr>
      </w:pPr>
      <w:r>
        <w:rPr>
          <w:rFonts w:hint="eastAsia" w:ascii="宋体" w:hAnsi="宋体" w:eastAsia="宋体" w:cs="宋体"/>
          <w:sz w:val="24"/>
        </w:rPr>
        <w:t>6.3.3 评审活动在严格保密的情况下进行，只有在山东省政府采购信息公开平台专家库中随机抽取的磋商小组的成员、监督人员及经批准的采购人或者其委托的代理机构的有关工作人员参加。其他任何人员不得随意进入评审地点。</w:t>
      </w:r>
    </w:p>
    <w:p>
      <w:pPr>
        <w:spacing w:line="500" w:lineRule="exact"/>
        <w:ind w:firstLine="480"/>
        <w:rPr>
          <w:rFonts w:hint="eastAsia" w:ascii="宋体" w:hAnsi="宋体" w:eastAsia="宋体" w:cs="宋体"/>
          <w:sz w:val="24"/>
        </w:rPr>
      </w:pPr>
      <w:r>
        <w:rPr>
          <w:rFonts w:hint="eastAsia" w:ascii="宋体" w:hAnsi="宋体" w:eastAsia="宋体" w:cs="宋体"/>
          <w:sz w:val="24"/>
        </w:rPr>
        <w:t>6.3.4 在评审过程中，只有磋商小组的成员享有评审发言权，其他人员不得随意发表意见。</w:t>
      </w:r>
    </w:p>
    <w:p>
      <w:pPr>
        <w:spacing w:line="500" w:lineRule="exact"/>
        <w:ind w:firstLine="480"/>
        <w:rPr>
          <w:rFonts w:hint="eastAsia" w:ascii="宋体" w:hAnsi="宋体" w:eastAsia="宋体" w:cs="宋体"/>
          <w:sz w:val="24"/>
        </w:rPr>
      </w:pPr>
      <w:r>
        <w:rPr>
          <w:rFonts w:hint="eastAsia" w:ascii="宋体" w:hAnsi="宋体" w:eastAsia="宋体" w:cs="宋体"/>
          <w:sz w:val="24"/>
        </w:rPr>
        <w:t>6.3.5 磋商小组成员应当客观、公正地履行职责，遵守职业道德，对所提出的评审意见承担个人责任。</w:t>
      </w:r>
    </w:p>
    <w:p>
      <w:pPr>
        <w:spacing w:line="500" w:lineRule="exact"/>
        <w:ind w:firstLine="480"/>
        <w:rPr>
          <w:rFonts w:hint="eastAsia" w:ascii="宋体" w:hAnsi="宋体" w:eastAsia="宋体" w:cs="宋体"/>
          <w:sz w:val="24"/>
        </w:rPr>
      </w:pPr>
      <w:r>
        <w:rPr>
          <w:rFonts w:hint="eastAsia" w:ascii="宋体" w:hAnsi="宋体" w:eastAsia="宋体" w:cs="宋体"/>
          <w:sz w:val="24"/>
        </w:rPr>
        <w:t>6.3.6 磋商小组应当根据竞争性磋商文件规定的评标标准和方法，对响应文件进行系统地评审和比较。磋商文件中没有规定的标准和方法不得作为评审的依据。</w:t>
      </w:r>
    </w:p>
    <w:p>
      <w:pPr>
        <w:spacing w:line="500" w:lineRule="exact"/>
        <w:ind w:firstLine="480"/>
        <w:rPr>
          <w:rFonts w:hint="eastAsia" w:ascii="宋体" w:hAnsi="宋体" w:eastAsia="宋体" w:cs="宋体"/>
          <w:sz w:val="24"/>
        </w:rPr>
      </w:pPr>
      <w:r>
        <w:rPr>
          <w:rFonts w:hint="eastAsia" w:ascii="宋体" w:hAnsi="宋体" w:eastAsia="宋体" w:cs="宋体"/>
          <w:sz w:val="24"/>
        </w:rPr>
        <w:t>6.3.7 磋商小组成员不得与任何供应商或者与评审结果有利害关系的人进行私下接触，不得收受供应商、中介人、其他利害关系人的财物或者其他好处。</w:t>
      </w:r>
    </w:p>
    <w:p>
      <w:pPr>
        <w:spacing w:line="500" w:lineRule="exact"/>
        <w:ind w:firstLine="480"/>
        <w:rPr>
          <w:rFonts w:hint="eastAsia" w:ascii="宋体" w:hAnsi="宋体" w:eastAsia="宋体" w:cs="宋体"/>
          <w:sz w:val="24"/>
        </w:rPr>
      </w:pPr>
      <w:r>
        <w:rPr>
          <w:rFonts w:hint="eastAsia" w:ascii="宋体" w:hAnsi="宋体" w:eastAsia="宋体" w:cs="宋体"/>
          <w:sz w:val="24"/>
        </w:rPr>
        <w:t>6.3.8 评审期间，磋商小组成员不得单独出入评审地点、与外界通讯、会客等。</w:t>
      </w:r>
    </w:p>
    <w:p>
      <w:pPr>
        <w:spacing w:line="500" w:lineRule="exact"/>
        <w:ind w:firstLine="480"/>
        <w:rPr>
          <w:rFonts w:hint="eastAsia" w:ascii="宋体" w:hAnsi="宋体" w:eastAsia="宋体" w:cs="宋体"/>
          <w:sz w:val="24"/>
        </w:rPr>
      </w:pPr>
      <w:r>
        <w:rPr>
          <w:rFonts w:hint="eastAsia" w:ascii="宋体" w:hAnsi="宋体" w:eastAsia="宋体" w:cs="宋体"/>
          <w:sz w:val="24"/>
        </w:rPr>
        <w:t>6.3.9 磋商小组成员和与评审活动有关的工作人员不得透露对响应文件的评审和比较、成交候选人的推荐情况以及与评审有关的其他情况。</w:t>
      </w:r>
    </w:p>
    <w:p>
      <w:pPr>
        <w:spacing w:line="500" w:lineRule="exact"/>
        <w:ind w:firstLine="480"/>
        <w:rPr>
          <w:rFonts w:hint="eastAsia" w:ascii="宋体" w:hAnsi="宋体" w:eastAsia="宋体" w:cs="宋体"/>
          <w:sz w:val="24"/>
        </w:rPr>
      </w:pPr>
      <w:r>
        <w:rPr>
          <w:rFonts w:hint="eastAsia" w:ascii="宋体" w:hAnsi="宋体" w:eastAsia="宋体" w:cs="宋体"/>
          <w:sz w:val="24"/>
        </w:rPr>
        <w:t>6.3.10 评审结束后，磋商小组成员应将全部资料整理上交采购人或者代理机构，严禁将评审过程中有关资料向供应商或者其他单位提供。</w:t>
      </w:r>
    </w:p>
    <w:p>
      <w:pPr>
        <w:spacing w:line="500" w:lineRule="exact"/>
        <w:ind w:firstLine="480"/>
        <w:rPr>
          <w:rFonts w:hint="eastAsia" w:ascii="宋体" w:hAnsi="宋体" w:eastAsia="宋体" w:cs="宋体"/>
          <w:sz w:val="24"/>
        </w:rPr>
      </w:pPr>
      <w:r>
        <w:rPr>
          <w:rFonts w:hint="eastAsia" w:ascii="宋体" w:hAnsi="宋体" w:eastAsia="宋体" w:cs="宋体"/>
          <w:sz w:val="24"/>
        </w:rPr>
        <w:t>6.3.11 磋商小组成员在评审过程中擅离职守，影响评审程序正常进行或者在评审过程中不能客观公正地履行职责的，给予警告；情节严重的，取消担任磋商小组成员的资格，不得再参加依法必须进行采购项目的评审，并处一万元以下的罚款；构成犯罪的，依法追究刑事责任。</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6.4磋商</w:t>
      </w:r>
    </w:p>
    <w:p>
      <w:pPr>
        <w:spacing w:line="500" w:lineRule="exact"/>
        <w:ind w:firstLine="410" w:firstLineChars="171"/>
        <w:rPr>
          <w:rFonts w:hint="eastAsia" w:ascii="宋体" w:hAnsi="宋体" w:eastAsia="宋体" w:cs="宋体"/>
          <w:sz w:val="24"/>
        </w:rPr>
      </w:pPr>
      <w:r>
        <w:rPr>
          <w:rFonts w:hint="eastAsia" w:cs="宋体"/>
          <w:sz w:val="24"/>
          <w:lang w:val="en-US" w:eastAsia="zh-CN"/>
        </w:rPr>
        <w:t>6.4.1</w:t>
      </w:r>
      <w:r>
        <w:rPr>
          <w:rFonts w:hint="eastAsia" w:ascii="宋体" w:hAnsi="宋体" w:eastAsia="宋体" w:cs="宋体"/>
          <w:sz w:val="24"/>
        </w:rPr>
        <w:t>磋商小组按照第三章“竞争性磋商办法”规定的方法、评审因素、标准和程序对响应文件进行评审。第三章“竞争性磋商办法”没有规定的方法、评审因素和标准，不作为评审依据。</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6.4.2为了有助于响应文件的检查和评审，磋商小组可以要求供应商澄清其提交的响应文件。采购人的澄清要求和供应商的答复均应以书面形式为准，供应商不得修改响应文件报价或响应文件中其它实质性内容，经澄清的问题需由供应商签字认可后作为响应文件的组成部分。</w:t>
      </w:r>
    </w:p>
    <w:p>
      <w:pPr>
        <w:spacing w:line="500" w:lineRule="exact"/>
        <w:ind w:left="0" w:leftChars="0" w:firstLine="0" w:firstLineChars="0"/>
        <w:outlineLvl w:val="1"/>
        <w:rPr>
          <w:rFonts w:hint="eastAsia" w:ascii="宋体" w:hAnsi="宋体" w:eastAsia="宋体" w:cs="宋体"/>
          <w:b/>
          <w:sz w:val="24"/>
        </w:rPr>
      </w:pPr>
      <w:bookmarkStart w:id="21" w:name="_Toc17137"/>
      <w:r>
        <w:rPr>
          <w:rFonts w:hint="eastAsia" w:ascii="宋体" w:hAnsi="宋体" w:eastAsia="宋体" w:cs="宋体"/>
          <w:b/>
          <w:sz w:val="24"/>
        </w:rPr>
        <w:t>7. 合同授予</w:t>
      </w:r>
      <w:bookmarkEnd w:id="21"/>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7.1 成交方式</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磋商小组根据竞争性磋商文件制定的评审方法及原则，对响应文件进行评审和比较，向采购人提出书面评</w:t>
      </w:r>
      <w:r>
        <w:rPr>
          <w:rFonts w:hint="eastAsia" w:ascii="宋体" w:hAnsi="宋体" w:eastAsia="宋体" w:cs="宋体"/>
          <w:sz w:val="24"/>
          <w:lang w:val="en-US" w:eastAsia="zh-CN"/>
        </w:rPr>
        <w:t>审</w:t>
      </w:r>
      <w:r>
        <w:rPr>
          <w:rFonts w:hint="eastAsia" w:ascii="宋体" w:hAnsi="宋体" w:eastAsia="宋体" w:cs="宋体"/>
          <w:sz w:val="24"/>
          <w:lang w:eastAsia="zh-CN"/>
        </w:rPr>
        <w:t>报告，并按综合得分高低排列顺序（即评审合格且得分最高的为第一成交候选人，依次类推），推荐3名合格的成交候选人。采购人根据提出的书面评</w:t>
      </w:r>
      <w:r>
        <w:rPr>
          <w:rFonts w:hint="eastAsia" w:ascii="宋体" w:hAnsi="宋体" w:eastAsia="宋体" w:cs="宋体"/>
          <w:sz w:val="24"/>
          <w:lang w:val="en-US" w:eastAsia="zh-CN"/>
        </w:rPr>
        <w:t>审</w:t>
      </w:r>
      <w:r>
        <w:rPr>
          <w:rFonts w:hint="eastAsia" w:ascii="宋体" w:hAnsi="宋体" w:eastAsia="宋体" w:cs="宋体"/>
          <w:sz w:val="24"/>
          <w:lang w:eastAsia="zh-CN"/>
        </w:rPr>
        <w:t>报告和推荐的成交候选人，确定排名第一的成交候选人为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单位。排名第一的成交候选人放弃中标、因不可抗力提出不能履行合同、或者因违反相关规定被依法取消其成交资格的，采购人可以确定排名第二的成交候选人为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单位。排名第二的成交候选人因前款规定的同样原因不能签订合同的，采购人可以确定排名第三的成交候选人为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单位，也可以进行重新招标。</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7.2 成交通知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在本章第3.4 款规定的响应文件有效期内，采购人以书面形式向成交供应商发出成交通知书。</w:t>
      </w:r>
    </w:p>
    <w:p>
      <w:pPr>
        <w:spacing w:line="500" w:lineRule="exact"/>
        <w:ind w:left="0" w:leftChars="0" w:firstLine="0" w:firstLineChars="0"/>
        <w:outlineLvl w:val="1"/>
        <w:rPr>
          <w:rFonts w:hint="eastAsia" w:ascii="宋体" w:hAnsi="宋体" w:eastAsia="宋体" w:cs="宋体"/>
          <w:b/>
          <w:bCs w:val="0"/>
          <w:sz w:val="24"/>
        </w:rPr>
      </w:pPr>
      <w:bookmarkStart w:id="22" w:name="_Toc2381"/>
      <w:bookmarkStart w:id="23" w:name="_Toc494915082"/>
      <w:bookmarkStart w:id="24" w:name="_Toc494970159"/>
      <w:bookmarkStart w:id="25" w:name="_Toc494967549"/>
      <w:r>
        <w:rPr>
          <w:rFonts w:hint="eastAsia" w:ascii="宋体" w:hAnsi="宋体" w:eastAsia="宋体" w:cs="宋体"/>
          <w:b/>
          <w:bCs w:val="0"/>
          <w:sz w:val="24"/>
        </w:rPr>
        <w:t>7.3 签订合同</w:t>
      </w:r>
      <w:bookmarkEnd w:id="22"/>
      <w:bookmarkEnd w:id="23"/>
      <w:bookmarkEnd w:id="24"/>
      <w:bookmarkEnd w:id="25"/>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7.3.1 采购人和成交供应商应当自成交通知书发出之日起</w:t>
      </w:r>
      <w:r>
        <w:rPr>
          <w:rFonts w:hint="eastAsia" w:ascii="宋体" w:hAnsi="宋体" w:eastAsia="宋体" w:cs="宋体"/>
          <w:sz w:val="24"/>
          <w:lang w:val="en-US" w:eastAsia="zh-CN"/>
        </w:rPr>
        <w:t>10个工作日</w:t>
      </w:r>
      <w:r>
        <w:rPr>
          <w:rFonts w:hint="eastAsia" w:ascii="宋体" w:hAnsi="宋体" w:eastAsia="宋体" w:cs="宋体"/>
          <w:sz w:val="24"/>
        </w:rPr>
        <w:t>内，根据响应文件和成交供应商的竞争性磋商文件订立书面合同。成交供应商无正当理由拒签合同的，采购人取消其成交资格。</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7.3.2 发出成交通知书后，采购人无正当理由拒签合同的，给成交供应商造成损失的，还应当赔偿损失。</w:t>
      </w:r>
    </w:p>
    <w:p>
      <w:pPr>
        <w:pStyle w:val="7"/>
        <w:spacing w:line="480" w:lineRule="exact"/>
        <w:ind w:left="0" w:leftChars="0" w:firstLine="0" w:firstLineChars="0"/>
        <w:rPr>
          <w:rFonts w:hint="eastAsia" w:ascii="宋体" w:hAnsi="宋体" w:eastAsia="宋体" w:cs="宋体"/>
          <w:b/>
          <w:bCs/>
          <w:sz w:val="24"/>
          <w:szCs w:val="24"/>
        </w:rPr>
      </w:pPr>
      <w:bookmarkStart w:id="26" w:name="_Toc144974539"/>
      <w:bookmarkStart w:id="27" w:name="_Toc179632589"/>
      <w:bookmarkStart w:id="28" w:name="_Toc17485"/>
      <w:bookmarkStart w:id="29" w:name="_Toc6417"/>
      <w:bookmarkStart w:id="30" w:name="_Toc152045571"/>
      <w:bookmarkStart w:id="31" w:name="_Toc152042347"/>
      <w:bookmarkStart w:id="32" w:name="_Toc25222"/>
      <w:bookmarkStart w:id="33" w:name="_Toc285809508"/>
      <w:bookmarkStart w:id="34" w:name="_Toc25031"/>
      <w:bookmarkStart w:id="35" w:name="_Toc3331_WPSOffice_Level1"/>
      <w:bookmarkStart w:id="36" w:name="_Toc10984_WPSOffice_Level1"/>
      <w:bookmarkStart w:id="37" w:name="_Toc414538495"/>
      <w:bookmarkStart w:id="38" w:name="_Toc199575430"/>
      <w:r>
        <w:rPr>
          <w:rFonts w:hint="eastAsia" w:cs="宋体"/>
          <w:b/>
          <w:bCs/>
          <w:sz w:val="24"/>
          <w:szCs w:val="24"/>
          <w:lang w:val="en-US" w:eastAsia="zh-CN"/>
        </w:rPr>
        <w:t>8</w:t>
      </w:r>
      <w:r>
        <w:rPr>
          <w:rFonts w:hint="eastAsia" w:ascii="宋体" w:hAnsi="宋体" w:eastAsia="宋体" w:cs="宋体"/>
          <w:b/>
          <w:bCs/>
          <w:sz w:val="24"/>
          <w:szCs w:val="24"/>
        </w:rPr>
        <w:t>、重新招标和不再招标</w:t>
      </w:r>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val="0"/>
          <w:sz w:val="24"/>
          <w:szCs w:val="24"/>
          <w:lang w:val="en-US" w:eastAsia="zh-CN"/>
        </w:rPr>
      </w:pPr>
      <w:bookmarkStart w:id="39" w:name="_Toc152045572"/>
      <w:bookmarkStart w:id="40" w:name="_Toc144974540"/>
      <w:bookmarkStart w:id="41" w:name="_Toc285809509"/>
      <w:bookmarkStart w:id="42" w:name="_Toc152042348"/>
      <w:bookmarkStart w:id="43" w:name="_Toc179632590"/>
      <w:r>
        <w:rPr>
          <w:rFonts w:hint="eastAsia" w:cs="宋体"/>
          <w:b/>
          <w:bCs w:val="0"/>
          <w:sz w:val="24"/>
          <w:szCs w:val="24"/>
          <w:lang w:val="en-US" w:eastAsia="zh-CN"/>
        </w:rPr>
        <w:t>8</w:t>
      </w:r>
      <w:r>
        <w:rPr>
          <w:rFonts w:hint="eastAsia" w:ascii="宋体" w:hAnsi="宋体" w:eastAsia="宋体" w:cs="宋体"/>
          <w:b/>
          <w:bCs w:val="0"/>
          <w:sz w:val="24"/>
          <w:szCs w:val="24"/>
          <w:lang w:val="en-US" w:eastAsia="zh-CN"/>
        </w:rPr>
        <w:t>.1 重新招标</w:t>
      </w:r>
      <w:bookmarkEnd w:id="39"/>
      <w:bookmarkEnd w:id="40"/>
      <w:bookmarkEnd w:id="41"/>
      <w:bookmarkEnd w:id="42"/>
      <w:bookmarkEnd w:id="43"/>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将重新招标：</w:t>
      </w:r>
    </w:p>
    <w:p>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（1）投标截止时间止，</w:t>
      </w:r>
      <w:r>
        <w:rPr>
          <w:rFonts w:hint="eastAsia" w:ascii="宋体" w:hAnsi="宋体" w:eastAsia="宋体" w:cs="宋体"/>
          <w:sz w:val="24"/>
          <w:szCs w:val="24"/>
          <w:lang w:eastAsia="zh-CN"/>
        </w:rPr>
        <w:t>供应商</w:t>
      </w:r>
      <w:r>
        <w:rPr>
          <w:rFonts w:hint="eastAsia" w:ascii="宋体" w:hAnsi="宋体" w:eastAsia="宋体" w:cs="宋体"/>
          <w:sz w:val="24"/>
          <w:szCs w:val="24"/>
        </w:rPr>
        <w:t>少于3个的；</w:t>
      </w:r>
    </w:p>
    <w:p>
      <w:pPr>
        <w:spacing w:line="48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rPr>
        <w:t>（2）经</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评审，合格</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不足3个的，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应当否决全部投标。</w:t>
      </w:r>
    </w:p>
    <w:p>
      <w:pPr>
        <w:spacing w:line="600" w:lineRule="exact"/>
        <w:ind w:left="0" w:leftChars="0" w:firstLine="0" w:firstLineChars="0"/>
        <w:rPr>
          <w:rFonts w:hint="eastAsia" w:ascii="宋体" w:hAnsi="宋体" w:eastAsia="宋体" w:cs="宋体"/>
          <w:b/>
          <w:sz w:val="24"/>
          <w:szCs w:val="24"/>
        </w:rPr>
      </w:pPr>
      <w:bookmarkStart w:id="44" w:name="_Toc144974541"/>
      <w:bookmarkStart w:id="45" w:name="_Toc285809510"/>
      <w:bookmarkStart w:id="46" w:name="_Toc152042349"/>
      <w:bookmarkStart w:id="47" w:name="_Toc179632591"/>
      <w:bookmarkStart w:id="48" w:name="_Toc152045573"/>
      <w:r>
        <w:rPr>
          <w:rFonts w:hint="eastAsia" w:cs="宋体"/>
          <w:b/>
          <w:sz w:val="24"/>
          <w:szCs w:val="24"/>
          <w:lang w:val="en-US" w:eastAsia="zh-CN"/>
        </w:rPr>
        <w:t>8</w:t>
      </w:r>
      <w:r>
        <w:rPr>
          <w:rFonts w:hint="eastAsia" w:ascii="宋体" w:hAnsi="宋体" w:eastAsia="宋体" w:cs="宋体"/>
          <w:b/>
          <w:sz w:val="24"/>
          <w:szCs w:val="24"/>
        </w:rPr>
        <w:t>.2 不再招标</w:t>
      </w:r>
      <w:bookmarkEnd w:id="44"/>
      <w:bookmarkEnd w:id="45"/>
      <w:bookmarkEnd w:id="46"/>
      <w:bookmarkEnd w:id="47"/>
      <w:bookmarkEnd w:id="48"/>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重新招标后</w:t>
      </w:r>
      <w:r>
        <w:rPr>
          <w:rFonts w:hint="eastAsia" w:ascii="宋体" w:hAnsi="宋体" w:eastAsia="宋体" w:cs="宋体"/>
          <w:sz w:val="24"/>
          <w:szCs w:val="24"/>
          <w:lang w:eastAsia="zh-CN"/>
        </w:rPr>
        <w:t>供应商</w:t>
      </w:r>
      <w:r>
        <w:rPr>
          <w:rFonts w:hint="eastAsia" w:ascii="宋体" w:hAnsi="宋体" w:eastAsia="宋体" w:cs="宋体"/>
          <w:sz w:val="24"/>
          <w:szCs w:val="24"/>
        </w:rPr>
        <w:t>仍少于3个或者所有投标被否决的，属于必须审批或核准的项目，经原审批或核准部门批准后不再进行招标。</w:t>
      </w:r>
    </w:p>
    <w:p>
      <w:pPr>
        <w:pStyle w:val="7"/>
        <w:spacing w:line="480" w:lineRule="exact"/>
        <w:ind w:left="0" w:leftChars="0" w:firstLine="0" w:firstLineChars="0"/>
        <w:rPr>
          <w:rFonts w:hint="eastAsia" w:ascii="宋体" w:hAnsi="宋体" w:eastAsia="宋体" w:cs="宋体"/>
          <w:sz w:val="24"/>
          <w:szCs w:val="24"/>
        </w:rPr>
      </w:pPr>
      <w:bookmarkStart w:id="49" w:name="_Toc32439"/>
      <w:bookmarkStart w:id="50" w:name="_Toc2604"/>
      <w:bookmarkStart w:id="51" w:name="_Toc152042350"/>
      <w:bookmarkStart w:id="52" w:name="_Toc179632592"/>
      <w:bookmarkStart w:id="53" w:name="_Toc11513"/>
      <w:bookmarkStart w:id="54" w:name="_Toc144974542"/>
      <w:bookmarkStart w:id="55" w:name="_Toc285809511"/>
      <w:bookmarkStart w:id="56" w:name="_Toc152045574"/>
      <w:r>
        <w:rPr>
          <w:rFonts w:hint="eastAsia" w:cs="宋体"/>
          <w:sz w:val="24"/>
          <w:szCs w:val="24"/>
          <w:lang w:val="en-US" w:eastAsia="zh-CN"/>
        </w:rPr>
        <w:t>9</w:t>
      </w:r>
      <w:r>
        <w:rPr>
          <w:rFonts w:hint="eastAsia" w:ascii="宋体" w:hAnsi="宋体" w:eastAsia="宋体" w:cs="宋体"/>
          <w:sz w:val="24"/>
          <w:szCs w:val="24"/>
        </w:rPr>
        <w:t>、纪律和监督</w:t>
      </w:r>
      <w:bookmarkEnd w:id="49"/>
      <w:bookmarkEnd w:id="50"/>
      <w:bookmarkEnd w:id="51"/>
      <w:bookmarkEnd w:id="52"/>
      <w:bookmarkEnd w:id="53"/>
      <w:bookmarkEnd w:id="54"/>
      <w:bookmarkEnd w:id="55"/>
      <w:bookmarkEnd w:id="56"/>
    </w:p>
    <w:p>
      <w:pPr>
        <w:spacing w:line="600" w:lineRule="exact"/>
        <w:ind w:left="0" w:leftChars="0" w:firstLine="0" w:firstLineChars="0"/>
        <w:rPr>
          <w:rFonts w:hint="eastAsia" w:ascii="宋体" w:hAnsi="宋体" w:eastAsia="宋体" w:cs="宋体"/>
          <w:b/>
          <w:bCs w:val="0"/>
          <w:sz w:val="24"/>
          <w:szCs w:val="24"/>
          <w:lang w:val="en-US" w:eastAsia="zh-CN"/>
        </w:rPr>
      </w:pPr>
      <w:bookmarkStart w:id="57" w:name="_Toc152045575"/>
      <w:bookmarkStart w:id="58" w:name="_Toc152042351"/>
      <w:bookmarkStart w:id="59" w:name="_Toc179632593"/>
      <w:bookmarkStart w:id="60" w:name="_Toc144974543"/>
      <w:bookmarkStart w:id="61" w:name="_Toc285809512"/>
      <w:r>
        <w:rPr>
          <w:rFonts w:hint="eastAsia" w:cs="宋体"/>
          <w:b/>
          <w:bCs w:val="0"/>
          <w:sz w:val="24"/>
          <w:szCs w:val="24"/>
          <w:lang w:val="en-US" w:eastAsia="zh-CN"/>
        </w:rPr>
        <w:t>9</w:t>
      </w:r>
      <w:r>
        <w:rPr>
          <w:rFonts w:hint="eastAsia" w:ascii="宋体" w:hAnsi="宋体" w:eastAsia="宋体" w:cs="宋体"/>
          <w:b/>
          <w:bCs w:val="0"/>
          <w:sz w:val="24"/>
          <w:szCs w:val="24"/>
          <w:lang w:val="en-US" w:eastAsia="zh-CN"/>
        </w:rPr>
        <w:t>.1 对采购人的纪律要求</w:t>
      </w:r>
      <w:bookmarkEnd w:id="57"/>
      <w:bookmarkEnd w:id="58"/>
      <w:bookmarkEnd w:id="59"/>
      <w:bookmarkEnd w:id="60"/>
      <w:bookmarkEnd w:id="61"/>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不得泄漏招标投标活动中应当保密的情况和资料，不得与</w:t>
      </w:r>
      <w:r>
        <w:rPr>
          <w:rFonts w:hint="eastAsia" w:ascii="宋体" w:hAnsi="宋体" w:eastAsia="宋体" w:cs="宋体"/>
          <w:sz w:val="24"/>
          <w:szCs w:val="24"/>
          <w:lang w:eastAsia="zh-CN"/>
        </w:rPr>
        <w:t>供应商</w:t>
      </w:r>
      <w:r>
        <w:rPr>
          <w:rFonts w:hint="eastAsia" w:ascii="宋体" w:hAnsi="宋体" w:eastAsia="宋体" w:cs="宋体"/>
          <w:sz w:val="24"/>
          <w:szCs w:val="24"/>
        </w:rPr>
        <w:t>串通损害国家利益、社会公共利益或者他人合法权益。</w:t>
      </w:r>
    </w:p>
    <w:p>
      <w:pPr>
        <w:spacing w:line="600" w:lineRule="exact"/>
        <w:ind w:left="0" w:leftChars="0" w:firstLine="0" w:firstLineChars="0"/>
        <w:rPr>
          <w:rFonts w:hint="eastAsia" w:ascii="宋体" w:hAnsi="宋体" w:eastAsia="宋体" w:cs="宋体"/>
          <w:b/>
          <w:bCs w:val="0"/>
          <w:sz w:val="24"/>
          <w:szCs w:val="24"/>
          <w:lang w:val="en-US" w:eastAsia="zh-CN"/>
        </w:rPr>
      </w:pPr>
      <w:bookmarkStart w:id="62" w:name="_Toc152042352"/>
      <w:bookmarkStart w:id="63" w:name="_Toc179632594"/>
      <w:bookmarkStart w:id="64" w:name="_Toc285809513"/>
      <w:bookmarkStart w:id="65" w:name="_Toc144974544"/>
      <w:bookmarkStart w:id="66" w:name="_Toc152045576"/>
      <w:r>
        <w:rPr>
          <w:rFonts w:hint="eastAsia" w:cs="宋体"/>
          <w:b/>
          <w:bCs w:val="0"/>
          <w:sz w:val="24"/>
          <w:szCs w:val="24"/>
          <w:lang w:val="en-US" w:eastAsia="zh-CN"/>
        </w:rPr>
        <w:t>9</w:t>
      </w:r>
      <w:r>
        <w:rPr>
          <w:rFonts w:hint="eastAsia" w:ascii="宋体" w:hAnsi="宋体" w:eastAsia="宋体" w:cs="宋体"/>
          <w:b/>
          <w:bCs w:val="0"/>
          <w:sz w:val="24"/>
          <w:szCs w:val="24"/>
          <w:lang w:val="en-US" w:eastAsia="zh-CN"/>
        </w:rPr>
        <w:t>.2 对供应商的纪律要求</w:t>
      </w:r>
      <w:bookmarkEnd w:id="62"/>
      <w:bookmarkEnd w:id="63"/>
      <w:bookmarkEnd w:id="64"/>
      <w:bookmarkEnd w:id="65"/>
      <w:bookmarkEnd w:id="66"/>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不得相互串通投标或者与</w:t>
      </w:r>
      <w:r>
        <w:rPr>
          <w:rFonts w:hint="eastAsia" w:ascii="宋体" w:hAnsi="宋体" w:eastAsia="宋体" w:cs="宋体"/>
          <w:sz w:val="24"/>
          <w:szCs w:val="24"/>
          <w:lang w:eastAsia="zh-CN"/>
        </w:rPr>
        <w:t>采购人</w:t>
      </w:r>
      <w:r>
        <w:rPr>
          <w:rFonts w:hint="eastAsia" w:ascii="宋体" w:hAnsi="宋体" w:eastAsia="宋体" w:cs="宋体"/>
          <w:sz w:val="24"/>
          <w:szCs w:val="24"/>
        </w:rPr>
        <w:t>串通投标，不得向</w:t>
      </w:r>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磋商小组</w:t>
      </w:r>
      <w:r>
        <w:rPr>
          <w:rFonts w:hint="eastAsia" w:ascii="宋体" w:hAnsi="宋体" w:eastAsia="宋体" w:cs="宋体"/>
          <w:sz w:val="24"/>
          <w:szCs w:val="24"/>
        </w:rPr>
        <w:t>成员行贿谋取中标，不得以他人名义投标或者以其他方式弄虚作假骗取中标；</w:t>
      </w:r>
      <w:r>
        <w:rPr>
          <w:rFonts w:hint="eastAsia" w:ascii="宋体" w:hAnsi="宋体" w:eastAsia="宋体" w:cs="宋体"/>
          <w:sz w:val="24"/>
          <w:szCs w:val="24"/>
          <w:lang w:eastAsia="zh-CN"/>
        </w:rPr>
        <w:t>供应商</w:t>
      </w:r>
      <w:r>
        <w:rPr>
          <w:rFonts w:hint="eastAsia" w:ascii="宋体" w:hAnsi="宋体" w:eastAsia="宋体" w:cs="宋体"/>
          <w:sz w:val="24"/>
          <w:szCs w:val="24"/>
        </w:rPr>
        <w:t>不得以任何方式干扰、影响评标工作。</w:t>
      </w:r>
    </w:p>
    <w:p>
      <w:pPr>
        <w:spacing w:line="600" w:lineRule="exact"/>
        <w:ind w:left="0" w:leftChars="0" w:firstLine="0" w:firstLineChars="0"/>
        <w:rPr>
          <w:rFonts w:hint="eastAsia" w:ascii="宋体" w:hAnsi="宋体" w:eastAsia="宋体" w:cs="宋体"/>
          <w:b/>
          <w:bCs w:val="0"/>
          <w:sz w:val="24"/>
          <w:szCs w:val="24"/>
          <w:lang w:val="en-US" w:eastAsia="zh-CN"/>
        </w:rPr>
      </w:pPr>
      <w:bookmarkStart w:id="67" w:name="_Toc179632595"/>
      <w:bookmarkStart w:id="68" w:name="_Toc144974545"/>
      <w:bookmarkStart w:id="69" w:name="_Toc152042353"/>
      <w:bookmarkStart w:id="70" w:name="_Toc152045577"/>
      <w:bookmarkStart w:id="71" w:name="_Toc285809514"/>
      <w:r>
        <w:rPr>
          <w:rFonts w:hint="eastAsia" w:cs="宋体"/>
          <w:b/>
          <w:bCs w:val="0"/>
          <w:sz w:val="24"/>
          <w:szCs w:val="24"/>
          <w:lang w:val="en-US" w:eastAsia="zh-CN"/>
        </w:rPr>
        <w:t>9</w:t>
      </w:r>
      <w:r>
        <w:rPr>
          <w:rFonts w:hint="eastAsia" w:ascii="宋体" w:hAnsi="宋体" w:eastAsia="宋体" w:cs="宋体"/>
          <w:b/>
          <w:bCs w:val="0"/>
          <w:sz w:val="24"/>
          <w:szCs w:val="24"/>
          <w:lang w:val="en-US" w:eastAsia="zh-CN"/>
        </w:rPr>
        <w:t>.3 对磋商小组成员的纪律要求</w:t>
      </w:r>
      <w:bookmarkEnd w:id="67"/>
      <w:bookmarkEnd w:id="68"/>
      <w:bookmarkEnd w:id="69"/>
      <w:bookmarkEnd w:id="70"/>
      <w:bookmarkEnd w:id="71"/>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磋商小组</w:t>
      </w:r>
      <w:r>
        <w:rPr>
          <w:rFonts w:hint="eastAsia" w:ascii="宋体" w:hAnsi="宋体" w:eastAsia="宋体" w:cs="宋体"/>
          <w:sz w:val="24"/>
          <w:szCs w:val="24"/>
        </w:rPr>
        <w:t>成员不得收受他人的财物或者其他好处，不得向他人透漏对</w:t>
      </w:r>
      <w:r>
        <w:rPr>
          <w:rFonts w:hint="eastAsia" w:ascii="宋体" w:hAnsi="宋体" w:eastAsia="宋体" w:cs="宋体"/>
          <w:sz w:val="24"/>
          <w:szCs w:val="24"/>
          <w:lang w:eastAsia="zh-CN"/>
        </w:rPr>
        <w:t>响应文件</w:t>
      </w:r>
      <w:r>
        <w:rPr>
          <w:rFonts w:hint="eastAsia" w:ascii="宋体" w:hAnsi="宋体" w:eastAsia="宋体" w:cs="宋体"/>
          <w:sz w:val="24"/>
          <w:szCs w:val="24"/>
        </w:rPr>
        <w:t>的评审和比较、</w:t>
      </w:r>
      <w:r>
        <w:rPr>
          <w:rFonts w:hint="eastAsia" w:ascii="宋体" w:hAnsi="宋体" w:eastAsia="宋体" w:cs="宋体"/>
          <w:sz w:val="24"/>
          <w:szCs w:val="24"/>
          <w:lang w:eastAsia="zh-CN"/>
        </w:rPr>
        <w:t>成交候选人</w:t>
      </w:r>
      <w:r>
        <w:rPr>
          <w:rFonts w:hint="eastAsia" w:ascii="宋体" w:hAnsi="宋体" w:eastAsia="宋体" w:cs="宋体"/>
          <w:sz w:val="24"/>
          <w:szCs w:val="24"/>
        </w:rPr>
        <w:t>的推荐情况以及评标有关的其他情况。在评标活动中，</w:t>
      </w:r>
      <w:r>
        <w:rPr>
          <w:rFonts w:hint="eastAsia" w:ascii="宋体" w:hAnsi="宋体" w:eastAsia="宋体" w:cs="宋体"/>
          <w:sz w:val="24"/>
          <w:szCs w:val="24"/>
          <w:lang w:eastAsia="zh-CN"/>
        </w:rPr>
        <w:t>磋商小组</w:t>
      </w:r>
      <w:r>
        <w:rPr>
          <w:rFonts w:hint="eastAsia" w:ascii="宋体" w:hAnsi="宋体" w:eastAsia="宋体" w:cs="宋体"/>
          <w:sz w:val="24"/>
          <w:szCs w:val="24"/>
        </w:rPr>
        <w:t>成员不得擅离职守，影响评标程序正常进行，不得使用第</w:t>
      </w:r>
      <w:r>
        <w:rPr>
          <w:rFonts w:hint="eastAsia" w:ascii="宋体" w:hAnsi="宋体" w:eastAsia="宋体" w:cs="宋体"/>
          <w:sz w:val="24"/>
          <w:szCs w:val="24"/>
          <w:lang w:val="en-US" w:eastAsia="zh-CN"/>
        </w:rPr>
        <w:t>三</w:t>
      </w:r>
      <w:r>
        <w:rPr>
          <w:rFonts w:hint="eastAsia" w:ascii="宋体" w:hAnsi="宋体" w:eastAsia="宋体" w:cs="宋体"/>
          <w:sz w:val="24"/>
          <w:szCs w:val="24"/>
        </w:rPr>
        <w:t>章“</w:t>
      </w:r>
      <w:r>
        <w:rPr>
          <w:rFonts w:hint="eastAsia" w:ascii="宋体" w:hAnsi="宋体" w:eastAsia="宋体" w:cs="宋体"/>
          <w:sz w:val="24"/>
          <w:szCs w:val="24"/>
          <w:lang w:val="en-US" w:eastAsia="zh-CN"/>
        </w:rPr>
        <w:t>竞争性磋商评审办法</w:t>
      </w:r>
      <w:r>
        <w:rPr>
          <w:rFonts w:hint="eastAsia" w:ascii="宋体" w:hAnsi="宋体" w:eastAsia="宋体" w:cs="宋体"/>
          <w:sz w:val="24"/>
          <w:szCs w:val="24"/>
        </w:rPr>
        <w:t>”没有规定的评审因素和标准进行评标。</w:t>
      </w:r>
    </w:p>
    <w:p>
      <w:pPr>
        <w:spacing w:line="600" w:lineRule="exact"/>
        <w:ind w:left="0" w:leftChars="0" w:firstLine="0" w:firstLineChars="0"/>
        <w:rPr>
          <w:rFonts w:hint="eastAsia" w:ascii="宋体" w:hAnsi="宋体" w:eastAsia="宋体" w:cs="宋体"/>
          <w:b/>
          <w:bCs w:val="0"/>
          <w:sz w:val="24"/>
          <w:szCs w:val="24"/>
          <w:lang w:val="en-US" w:eastAsia="zh-CN"/>
        </w:rPr>
      </w:pPr>
      <w:bookmarkStart w:id="72" w:name="_Toc179632596"/>
      <w:bookmarkStart w:id="73" w:name="_Toc152042354"/>
      <w:bookmarkStart w:id="74" w:name="_Toc152045578"/>
      <w:bookmarkStart w:id="75" w:name="_Toc285809515"/>
      <w:bookmarkStart w:id="76" w:name="_Toc144974546"/>
      <w:r>
        <w:rPr>
          <w:rFonts w:hint="eastAsia" w:cs="宋体"/>
          <w:b/>
          <w:bCs w:val="0"/>
          <w:sz w:val="24"/>
          <w:szCs w:val="24"/>
          <w:lang w:val="en-US" w:eastAsia="zh-CN"/>
        </w:rPr>
        <w:t>9</w:t>
      </w:r>
      <w:r>
        <w:rPr>
          <w:rFonts w:hint="eastAsia" w:ascii="宋体" w:hAnsi="宋体" w:eastAsia="宋体" w:cs="宋体"/>
          <w:b/>
          <w:bCs w:val="0"/>
          <w:sz w:val="24"/>
          <w:szCs w:val="24"/>
          <w:lang w:val="en-US" w:eastAsia="zh-CN"/>
        </w:rPr>
        <w:t>.4 对与评标活动有关的工作人员的纪律要求</w:t>
      </w:r>
      <w:bookmarkEnd w:id="72"/>
      <w:bookmarkEnd w:id="73"/>
      <w:bookmarkEnd w:id="74"/>
      <w:bookmarkEnd w:id="75"/>
    </w:p>
    <w:p>
      <w:pPr>
        <w:spacing w:line="480" w:lineRule="exact"/>
        <w:ind w:firstLine="480" w:firstLineChars="200"/>
        <w:rPr>
          <w:rFonts w:hint="eastAsia" w:ascii="宋体" w:hAnsi="宋体" w:eastAsia="宋体" w:cs="宋体"/>
          <w:sz w:val="24"/>
          <w:szCs w:val="24"/>
        </w:rPr>
      </w:pPr>
      <w:bookmarkStart w:id="77" w:name="_Toc152042355"/>
      <w:r>
        <w:rPr>
          <w:rFonts w:hint="eastAsia" w:ascii="宋体" w:hAnsi="宋体" w:eastAsia="宋体" w:cs="宋体"/>
          <w:sz w:val="24"/>
          <w:szCs w:val="24"/>
        </w:rPr>
        <w:t>与评标活动有关的工作人员不得收受他人的财物或者其他好处，不得向他人透漏对</w:t>
      </w:r>
      <w:r>
        <w:rPr>
          <w:rFonts w:hint="eastAsia" w:ascii="宋体" w:hAnsi="宋体" w:eastAsia="宋体" w:cs="宋体"/>
          <w:sz w:val="24"/>
          <w:szCs w:val="24"/>
          <w:lang w:eastAsia="zh-CN"/>
        </w:rPr>
        <w:t>响应文件</w:t>
      </w:r>
      <w:r>
        <w:rPr>
          <w:rFonts w:hint="eastAsia" w:ascii="宋体" w:hAnsi="宋体" w:eastAsia="宋体" w:cs="宋体"/>
          <w:sz w:val="24"/>
          <w:szCs w:val="24"/>
        </w:rPr>
        <w:t>的评审和比较、</w:t>
      </w:r>
      <w:r>
        <w:rPr>
          <w:rFonts w:hint="eastAsia" w:ascii="宋体" w:hAnsi="宋体" w:eastAsia="宋体" w:cs="宋体"/>
          <w:sz w:val="24"/>
          <w:szCs w:val="24"/>
          <w:lang w:eastAsia="zh-CN"/>
        </w:rPr>
        <w:t>成交候选人</w:t>
      </w:r>
      <w:r>
        <w:rPr>
          <w:rFonts w:hint="eastAsia" w:ascii="宋体" w:hAnsi="宋体" w:eastAsia="宋体" w:cs="宋体"/>
          <w:sz w:val="24"/>
          <w:szCs w:val="24"/>
        </w:rPr>
        <w:t>的推荐情况以及评标有关的其他情况。在评标活动中，与评标活动有关的工作人员不得擅离职守，影响评标程序正常进行。</w:t>
      </w:r>
      <w:bookmarkEnd w:id="77"/>
    </w:p>
    <w:bookmarkEnd w:id="76"/>
    <w:p>
      <w:pPr>
        <w:pStyle w:val="7"/>
        <w:spacing w:line="480" w:lineRule="exact"/>
        <w:ind w:left="0" w:leftChars="0" w:firstLine="0" w:firstLineChars="0"/>
        <w:rPr>
          <w:rFonts w:hint="eastAsia" w:ascii="宋体" w:hAnsi="宋体" w:eastAsia="宋体" w:cs="宋体"/>
          <w:b/>
          <w:bCs/>
          <w:sz w:val="24"/>
          <w:szCs w:val="24"/>
        </w:rPr>
      </w:pPr>
      <w:bookmarkStart w:id="78" w:name="_Toc15381"/>
      <w:bookmarkStart w:id="79" w:name="_Toc21765"/>
      <w:bookmarkStart w:id="80" w:name="_Toc12137"/>
      <w:r>
        <w:rPr>
          <w:rFonts w:hint="eastAsia" w:cs="宋体"/>
          <w:b/>
          <w:bCs/>
          <w:sz w:val="24"/>
          <w:szCs w:val="24"/>
          <w:lang w:val="en-US" w:eastAsia="zh-CN"/>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处罚和质疑</w:t>
      </w:r>
      <w:bookmarkEnd w:id="78"/>
      <w:bookmarkEnd w:id="79"/>
      <w:bookmarkEnd w:id="80"/>
    </w:p>
    <w:p>
      <w:pPr>
        <w:spacing w:line="600" w:lineRule="exact"/>
        <w:ind w:left="0" w:leftChars="0" w:firstLine="0" w:firstLineChars="0"/>
        <w:rPr>
          <w:rFonts w:hint="eastAsia" w:ascii="宋体" w:hAnsi="宋体" w:eastAsia="宋体" w:cs="宋体"/>
          <w:b/>
          <w:bCs w:val="0"/>
          <w:sz w:val="24"/>
          <w:szCs w:val="24"/>
          <w:lang w:val="en-US" w:eastAsia="zh-CN"/>
        </w:rPr>
      </w:pPr>
      <w:bookmarkStart w:id="81" w:name="_Toc402430909"/>
      <w:bookmarkStart w:id="82" w:name="_Toc10217"/>
      <w:bookmarkStart w:id="83" w:name="_Toc428972283"/>
      <w:r>
        <w:rPr>
          <w:rFonts w:hint="eastAsia" w:cs="宋体"/>
          <w:b/>
          <w:bCs w:val="0"/>
          <w:sz w:val="24"/>
          <w:szCs w:val="24"/>
          <w:lang w:val="en-US" w:eastAsia="zh-CN"/>
        </w:rPr>
        <w:t>10</w:t>
      </w:r>
      <w:r>
        <w:rPr>
          <w:rFonts w:hint="eastAsia" w:ascii="宋体" w:hAnsi="宋体" w:eastAsia="宋体" w:cs="宋体"/>
          <w:b/>
          <w:bCs w:val="0"/>
          <w:sz w:val="24"/>
          <w:szCs w:val="24"/>
          <w:lang w:val="en-US" w:eastAsia="zh-CN"/>
        </w:rPr>
        <w:t>.1 处罚</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（1）发生下列情况之一，被列入不良记录名单，供应商今后参与同类政府采购项目的机会可能会受到影响：</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1)开标后在投标有效期内，供应商撤回其投标；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成交供应商</w:t>
      </w:r>
      <w:r>
        <w:rPr>
          <w:rFonts w:hint="eastAsia" w:ascii="宋体" w:hAnsi="宋体" w:eastAsia="宋体" w:cs="宋体"/>
          <w:sz w:val="24"/>
          <w:szCs w:val="24"/>
          <w:lang w:val="en-US" w:eastAsia="zh-CN"/>
        </w:rPr>
        <w:t xml:space="preserve">未按本竞争性磋商规定签订政府采购合同；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成交供应商</w:t>
      </w:r>
      <w:r>
        <w:rPr>
          <w:rFonts w:hint="eastAsia" w:ascii="宋体" w:hAnsi="宋体" w:eastAsia="宋体" w:cs="宋体"/>
          <w:sz w:val="24"/>
          <w:szCs w:val="24"/>
          <w:lang w:val="en-US" w:eastAsia="zh-CN"/>
        </w:rPr>
        <w:t>与采购人订立背离合同实质性内容的其它协议；</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4)将中标项目转让给他人，或者在响应文件中未说明，且未经采购代理机构和采购人同意，将中标项目分包给他人的；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cs="宋体"/>
          <w:sz w:val="24"/>
          <w:szCs w:val="24"/>
          <w:lang w:val="en-US" w:eastAsia="zh-CN"/>
        </w:rPr>
        <w:t>成交供应商</w:t>
      </w:r>
      <w:r>
        <w:rPr>
          <w:rFonts w:hint="eastAsia" w:ascii="宋体" w:hAnsi="宋体" w:eastAsia="宋体" w:cs="宋体"/>
          <w:sz w:val="24"/>
          <w:szCs w:val="24"/>
          <w:lang w:val="en-US" w:eastAsia="zh-CN"/>
        </w:rPr>
        <w:t xml:space="preserve">其它未按竞争性磋商规定和合同约定履行义务的行为。 </w:t>
      </w:r>
    </w:p>
    <w:p>
      <w:pPr>
        <w:spacing w:line="600" w:lineRule="exact"/>
        <w:ind w:left="0" w:leftChars="0" w:firstLine="0" w:firstLineChars="0"/>
        <w:rPr>
          <w:rFonts w:hint="eastAsia" w:ascii="宋体" w:hAnsi="宋体" w:eastAsia="宋体" w:cs="宋体"/>
          <w:b/>
          <w:bCs w:val="0"/>
          <w:sz w:val="24"/>
          <w:szCs w:val="24"/>
          <w:lang w:val="en-US" w:eastAsia="zh-CN"/>
        </w:rPr>
      </w:pPr>
      <w:r>
        <w:rPr>
          <w:rFonts w:hint="eastAsia" w:cs="宋体"/>
          <w:b/>
          <w:bCs w:val="0"/>
          <w:sz w:val="24"/>
          <w:szCs w:val="24"/>
          <w:lang w:val="en-US" w:eastAsia="zh-CN"/>
        </w:rPr>
        <w:t>10</w:t>
      </w:r>
      <w:r>
        <w:rPr>
          <w:rFonts w:hint="eastAsia" w:ascii="宋体" w:hAnsi="宋体" w:eastAsia="宋体" w:cs="宋体"/>
          <w:b/>
          <w:bCs w:val="0"/>
          <w:sz w:val="24"/>
          <w:szCs w:val="24"/>
          <w:lang w:val="en-US" w:eastAsia="zh-CN"/>
        </w:rPr>
        <w:t>.2 质疑</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供应商对采购活动事项有疑问的，可以向采购人或采购代理机构提出询问，采购人或采购代理机构将依法作出答复，但答复的内容不涉及商业秘密。</w:t>
      </w:r>
    </w:p>
    <w:p>
      <w:pPr>
        <w:pStyle w:val="7"/>
        <w:numPr>
          <w:ilvl w:val="0"/>
          <w:numId w:val="0"/>
        </w:numPr>
        <w:spacing w:line="480" w:lineRule="exact"/>
        <w:rPr>
          <w:rFonts w:hint="eastAsia" w:ascii="宋体" w:hAnsi="宋体" w:eastAsia="宋体" w:cs="宋体"/>
          <w:sz w:val="24"/>
          <w:szCs w:val="24"/>
        </w:rPr>
      </w:pPr>
      <w:bookmarkStart w:id="84" w:name="_Toc21025"/>
      <w:bookmarkStart w:id="85" w:name="_Toc10156"/>
      <w:bookmarkStart w:id="86" w:name="_Toc2351"/>
      <w:r>
        <w:rPr>
          <w:rFonts w:hint="eastAsia" w:ascii="宋体" w:hAnsi="宋体" w:eastAsia="宋体" w:cs="宋体"/>
          <w:sz w:val="24"/>
          <w:szCs w:val="24"/>
        </w:rPr>
        <w:t>1</w:t>
      </w:r>
      <w:r>
        <w:rPr>
          <w:rFonts w:hint="eastAsia"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b/>
          <w:bCs/>
          <w:sz w:val="24"/>
          <w:szCs w:val="24"/>
        </w:rPr>
        <w:t>保密和披露</w:t>
      </w:r>
      <w:bookmarkEnd w:id="84"/>
      <w:bookmarkEnd w:id="85"/>
      <w:bookmarkEnd w:id="86"/>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.1供应商自领取竞争性磋商</w:t>
      </w:r>
      <w:r>
        <w:rPr>
          <w:rFonts w:hint="eastAsia" w:cs="宋体"/>
          <w:sz w:val="24"/>
          <w:szCs w:val="24"/>
          <w:lang w:val="en-US" w:eastAsia="zh-CN"/>
        </w:rPr>
        <w:t>文件</w:t>
      </w:r>
      <w:r>
        <w:rPr>
          <w:rFonts w:hint="eastAsia" w:ascii="宋体" w:hAnsi="宋体" w:eastAsia="宋体" w:cs="宋体"/>
          <w:sz w:val="24"/>
          <w:szCs w:val="24"/>
          <w:lang w:val="en-US" w:eastAsia="zh-CN"/>
        </w:rPr>
        <w:t>之日起，须承担本采购项目下保密义务，不得将因本次采购获得的信息向其他人外传。</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 xml:space="preserve">.2采购代理机构有权将供应商提供的所有资料向其他政府部门或有关的非政府机构负责评审的人员或与评审有关的人员披露。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.3在下列情形下：当发布中标公告和其它公告时，当国家机关调查、审查、审计时，以及其他符合法律规定的情形下，无须事先征求供应商或</w:t>
      </w:r>
      <w:r>
        <w:rPr>
          <w:rFonts w:hint="eastAsia" w:cs="宋体"/>
          <w:sz w:val="24"/>
          <w:szCs w:val="24"/>
          <w:lang w:val="en-US" w:eastAsia="zh-CN"/>
        </w:rPr>
        <w:t>成交供应商</w:t>
      </w:r>
      <w:r>
        <w:rPr>
          <w:rFonts w:hint="eastAsia" w:ascii="宋体" w:hAnsi="宋体" w:eastAsia="宋体" w:cs="宋体"/>
          <w:sz w:val="24"/>
          <w:szCs w:val="24"/>
          <w:lang w:val="en-US" w:eastAsia="zh-CN"/>
        </w:rPr>
        <w:t>同意而可以披露关于采购 过程、合同文本、签署情况的资料、供应商或</w:t>
      </w:r>
      <w:r>
        <w:rPr>
          <w:rFonts w:hint="eastAsia" w:cs="宋体"/>
          <w:sz w:val="24"/>
          <w:szCs w:val="24"/>
          <w:lang w:val="en-US" w:eastAsia="zh-CN"/>
        </w:rPr>
        <w:t>成交供应商</w:t>
      </w:r>
      <w:r>
        <w:rPr>
          <w:rFonts w:hint="eastAsia" w:ascii="宋体" w:hAnsi="宋体" w:eastAsia="宋体" w:cs="宋体"/>
          <w:sz w:val="24"/>
          <w:szCs w:val="24"/>
          <w:lang w:val="en-US" w:eastAsia="zh-CN"/>
        </w:rPr>
        <w:t>的名称及地址、采购内容的有关信息 以及补充条款等。对任何已经公布过的内容或与之内容相同的资料无须再承担保密责任。</w:t>
      </w:r>
    </w:p>
    <w:p>
      <w:pPr>
        <w:pStyle w:val="7"/>
        <w:numPr>
          <w:ilvl w:val="0"/>
          <w:numId w:val="0"/>
        </w:numPr>
        <w:spacing w:line="480" w:lineRule="exact"/>
        <w:rPr>
          <w:rFonts w:hint="eastAsia" w:ascii="宋体" w:hAnsi="宋体" w:eastAsia="宋体" w:cs="宋体"/>
          <w:sz w:val="24"/>
          <w:szCs w:val="24"/>
          <w:lang w:val="en-US" w:eastAsia="zh-CN"/>
        </w:rPr>
      </w:pPr>
      <w:bookmarkStart w:id="87" w:name="_Toc21832"/>
      <w:bookmarkStart w:id="88" w:name="_Toc27763"/>
      <w:bookmarkStart w:id="89" w:name="_Toc6741"/>
      <w:r>
        <w:rPr>
          <w:rFonts w:hint="eastAsia" w:ascii="宋体" w:hAnsi="宋体" w:eastAsia="宋体" w:cs="宋体"/>
          <w:sz w:val="24"/>
          <w:szCs w:val="24"/>
          <w:lang w:val="en-US" w:eastAsia="zh-CN"/>
        </w:rPr>
        <w:t>1</w:t>
      </w:r>
      <w:r>
        <w:rPr>
          <w:rFonts w:hint="eastAsia" w:cs="宋体"/>
          <w:sz w:val="24"/>
          <w:szCs w:val="24"/>
          <w:lang w:val="en-US" w:eastAsia="zh-CN"/>
        </w:rPr>
        <w:t>2</w:t>
      </w:r>
      <w:r>
        <w:rPr>
          <w:rFonts w:hint="eastAsia" w:ascii="宋体" w:hAnsi="宋体" w:eastAsia="宋体" w:cs="宋体"/>
          <w:sz w:val="24"/>
          <w:szCs w:val="24"/>
        </w:rPr>
        <w:t>. 关于</w:t>
      </w:r>
      <w:bookmarkEnd w:id="81"/>
      <w:bookmarkEnd w:id="82"/>
      <w:bookmarkEnd w:id="83"/>
      <w:bookmarkEnd w:id="87"/>
      <w:bookmarkEnd w:id="88"/>
      <w:bookmarkEnd w:id="89"/>
      <w:r>
        <w:rPr>
          <w:rFonts w:hint="eastAsia" w:ascii="宋体" w:hAnsi="宋体" w:eastAsia="宋体" w:cs="宋体"/>
          <w:sz w:val="24"/>
          <w:szCs w:val="24"/>
          <w:lang w:val="en-US" w:eastAsia="zh-CN"/>
        </w:rPr>
        <w:t>无效投标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有下列情况之一，其投标视为</w:t>
      </w:r>
      <w:r>
        <w:rPr>
          <w:rFonts w:hint="eastAsia" w:ascii="宋体" w:hAnsi="宋体" w:eastAsia="宋体" w:cs="宋体"/>
          <w:sz w:val="24"/>
          <w:szCs w:val="24"/>
          <w:lang w:val="en-US" w:eastAsia="zh-CN"/>
        </w:rPr>
        <w:t>无效</w:t>
      </w:r>
      <w:r>
        <w:rPr>
          <w:rFonts w:hint="eastAsia" w:ascii="宋体" w:hAnsi="宋体" w:eastAsia="宋体" w:cs="宋体"/>
          <w:sz w:val="24"/>
          <w:szCs w:val="24"/>
        </w:rPr>
        <w:t>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提供的</w:t>
      </w:r>
      <w:r>
        <w:rPr>
          <w:rFonts w:hint="eastAsia" w:ascii="宋体" w:hAnsi="宋体" w:eastAsia="宋体" w:cs="宋体"/>
          <w:sz w:val="24"/>
          <w:szCs w:val="24"/>
          <w:lang w:eastAsia="zh-CN"/>
        </w:rPr>
        <w:t>响应文件</w:t>
      </w:r>
      <w:r>
        <w:rPr>
          <w:rFonts w:hint="eastAsia" w:ascii="宋体" w:hAnsi="宋体" w:eastAsia="宋体" w:cs="宋体"/>
          <w:sz w:val="24"/>
          <w:szCs w:val="24"/>
        </w:rPr>
        <w:t>不完整；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响应文件</w:t>
      </w:r>
      <w:r>
        <w:rPr>
          <w:rFonts w:hint="eastAsia" w:ascii="宋体" w:hAnsi="宋体" w:eastAsia="宋体" w:cs="宋体"/>
          <w:sz w:val="24"/>
          <w:szCs w:val="24"/>
        </w:rPr>
        <w:t>未按</w:t>
      </w:r>
      <w:r>
        <w:rPr>
          <w:rFonts w:hint="eastAsia" w:ascii="宋体" w:hAnsi="宋体" w:eastAsia="宋体" w:cs="宋体"/>
          <w:sz w:val="24"/>
          <w:szCs w:val="24"/>
          <w:lang w:eastAsia="zh-CN"/>
        </w:rPr>
        <w:t>竞争性磋商</w:t>
      </w:r>
      <w:r>
        <w:rPr>
          <w:rFonts w:hint="eastAsia" w:ascii="宋体" w:hAnsi="宋体" w:eastAsia="宋体" w:cs="宋体"/>
          <w:sz w:val="24"/>
          <w:szCs w:val="24"/>
        </w:rPr>
        <w:t>的规定签署、密封、标记的；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未按规定报价；</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对</w:t>
      </w:r>
      <w:r>
        <w:rPr>
          <w:rFonts w:hint="eastAsia" w:ascii="宋体" w:hAnsi="宋体" w:eastAsia="宋体" w:cs="宋体"/>
          <w:sz w:val="24"/>
          <w:szCs w:val="24"/>
          <w:lang w:eastAsia="zh-CN"/>
        </w:rPr>
        <w:t>竞争性磋商</w:t>
      </w:r>
      <w:r>
        <w:rPr>
          <w:rFonts w:hint="eastAsia" w:ascii="宋体" w:hAnsi="宋体" w:eastAsia="宋体" w:cs="宋体"/>
          <w:sz w:val="24"/>
          <w:szCs w:val="24"/>
        </w:rPr>
        <w:t>的要求未做出实质性响应；</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不参加开标仪式及询标事宜；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法律、法规规定的其他情况。</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eastAsia="zh-CN"/>
        </w:rPr>
        <w:t>供应商</w:t>
      </w:r>
      <w:r>
        <w:rPr>
          <w:rFonts w:hint="eastAsia" w:ascii="宋体" w:hAnsi="宋体" w:eastAsia="宋体" w:cs="宋体"/>
          <w:sz w:val="24"/>
          <w:szCs w:val="24"/>
        </w:rPr>
        <w:t>有下列情况之一，其投标不但被视为</w:t>
      </w:r>
      <w:r>
        <w:rPr>
          <w:rFonts w:hint="eastAsia" w:ascii="宋体" w:hAnsi="宋体" w:eastAsia="宋体" w:cs="宋体"/>
          <w:sz w:val="24"/>
          <w:szCs w:val="24"/>
          <w:lang w:val="en-US" w:eastAsia="zh-CN"/>
        </w:rPr>
        <w:t>无效</w:t>
      </w:r>
      <w:r>
        <w:rPr>
          <w:rFonts w:hint="eastAsia" w:ascii="宋体" w:hAnsi="宋体" w:eastAsia="宋体" w:cs="宋体"/>
          <w:sz w:val="24"/>
          <w:szCs w:val="24"/>
        </w:rPr>
        <w:t>标，而且招标代理人将严格依照《中华人民共和国</w:t>
      </w:r>
      <w:r>
        <w:rPr>
          <w:rFonts w:hint="eastAsia" w:ascii="宋体" w:hAnsi="宋体" w:eastAsia="宋体" w:cs="宋体"/>
          <w:sz w:val="24"/>
          <w:szCs w:val="24"/>
          <w:lang w:val="en-US" w:eastAsia="zh-CN"/>
        </w:rPr>
        <w:t>政府采购法</w:t>
      </w:r>
      <w:r>
        <w:rPr>
          <w:rFonts w:hint="eastAsia" w:ascii="宋体" w:hAnsi="宋体" w:eastAsia="宋体" w:cs="宋体"/>
          <w:sz w:val="24"/>
          <w:szCs w:val="24"/>
        </w:rPr>
        <w:t>》及有关法律、法规及规章的规定行使其权利。</w:t>
      </w:r>
      <w:r>
        <w:rPr>
          <w:rFonts w:hint="eastAsia" w:ascii="宋体" w:hAnsi="宋体" w:eastAsia="宋体" w:cs="宋体"/>
          <w:sz w:val="24"/>
          <w:szCs w:val="24"/>
          <w:lang w:eastAsia="zh-CN"/>
        </w:rPr>
        <w:t>供应商</w:t>
      </w:r>
      <w:r>
        <w:rPr>
          <w:rFonts w:hint="eastAsia" w:ascii="宋体" w:hAnsi="宋体" w:eastAsia="宋体" w:cs="宋体"/>
          <w:sz w:val="24"/>
          <w:szCs w:val="24"/>
        </w:rPr>
        <w:t>给招标代理人造成损失的，招标代理人有索赔的权利；给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造成损失的，应予以赔偿。</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.2.1 </w:t>
      </w:r>
      <w:r>
        <w:rPr>
          <w:rFonts w:hint="eastAsia" w:ascii="宋体" w:hAnsi="宋体" w:eastAsia="宋体" w:cs="宋体"/>
          <w:sz w:val="24"/>
          <w:szCs w:val="24"/>
          <w:lang w:eastAsia="zh-CN"/>
        </w:rPr>
        <w:t>供应商</w:t>
      </w:r>
      <w:r>
        <w:rPr>
          <w:rFonts w:hint="eastAsia" w:ascii="宋体" w:hAnsi="宋体" w:eastAsia="宋体" w:cs="宋体"/>
          <w:sz w:val="24"/>
          <w:szCs w:val="24"/>
        </w:rPr>
        <w:t>提供的有关资格、资质证明文件不真实，提供虚假投标材料；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.2.2 </w:t>
      </w:r>
      <w:r>
        <w:rPr>
          <w:rFonts w:hint="eastAsia" w:ascii="宋体" w:hAnsi="宋体" w:eastAsia="宋体" w:cs="宋体"/>
          <w:sz w:val="24"/>
          <w:szCs w:val="24"/>
          <w:lang w:eastAsia="zh-CN"/>
        </w:rPr>
        <w:t>供应商</w:t>
      </w:r>
      <w:r>
        <w:rPr>
          <w:rFonts w:hint="eastAsia" w:ascii="宋体" w:hAnsi="宋体" w:eastAsia="宋体" w:cs="宋体"/>
          <w:sz w:val="24"/>
          <w:szCs w:val="24"/>
        </w:rPr>
        <w:t>存在第二章</w:t>
      </w:r>
      <w:r>
        <w:rPr>
          <w:rFonts w:hint="eastAsia" w:ascii="宋体" w:hAnsi="宋体" w:eastAsia="宋体" w:cs="宋体"/>
          <w:sz w:val="24"/>
          <w:szCs w:val="24"/>
          <w:lang w:eastAsia="zh-CN"/>
        </w:rPr>
        <w:t>供应商</w:t>
      </w:r>
      <w:r>
        <w:rPr>
          <w:rFonts w:hint="eastAsia" w:ascii="宋体" w:hAnsi="宋体" w:eastAsia="宋体" w:cs="宋体"/>
          <w:sz w:val="24"/>
          <w:szCs w:val="24"/>
        </w:rPr>
        <w:t>须知第1.4.2款任一情形的；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.2.3 </w:t>
      </w:r>
      <w:r>
        <w:rPr>
          <w:rFonts w:hint="eastAsia" w:ascii="宋体" w:hAnsi="宋体" w:eastAsia="宋体" w:cs="宋体"/>
          <w:sz w:val="24"/>
          <w:szCs w:val="24"/>
          <w:lang w:eastAsia="zh-CN"/>
        </w:rPr>
        <w:t>供应商</w:t>
      </w:r>
      <w:r>
        <w:rPr>
          <w:rFonts w:hint="eastAsia" w:ascii="宋体" w:hAnsi="宋体" w:eastAsia="宋体" w:cs="宋体"/>
          <w:sz w:val="24"/>
          <w:szCs w:val="24"/>
        </w:rPr>
        <w:t>在投标有效期内撤回投标；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.2.4 在整个评标过程中，</w:t>
      </w:r>
      <w:r>
        <w:rPr>
          <w:rFonts w:hint="eastAsia" w:ascii="宋体" w:hAnsi="宋体" w:eastAsia="宋体" w:cs="宋体"/>
          <w:sz w:val="24"/>
          <w:szCs w:val="24"/>
          <w:lang w:eastAsia="zh-CN"/>
        </w:rPr>
        <w:t>供应商</w:t>
      </w:r>
      <w:r>
        <w:rPr>
          <w:rFonts w:hint="eastAsia" w:ascii="宋体" w:hAnsi="宋体" w:eastAsia="宋体" w:cs="宋体"/>
          <w:sz w:val="24"/>
          <w:szCs w:val="24"/>
        </w:rPr>
        <w:t>有企图影响招标结果的任何活动；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.2.5 </w:t>
      </w:r>
      <w:r>
        <w:rPr>
          <w:rFonts w:hint="eastAsia" w:ascii="宋体" w:hAnsi="宋体" w:eastAsia="宋体" w:cs="宋体"/>
          <w:sz w:val="24"/>
          <w:szCs w:val="24"/>
          <w:lang w:eastAsia="zh-CN"/>
        </w:rPr>
        <w:t>供应商</w:t>
      </w:r>
      <w:r>
        <w:rPr>
          <w:rFonts w:hint="eastAsia" w:ascii="宋体" w:hAnsi="宋体" w:eastAsia="宋体" w:cs="宋体"/>
          <w:sz w:val="24"/>
          <w:szCs w:val="24"/>
        </w:rPr>
        <w:t>串通投标；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.2.6 </w:t>
      </w:r>
      <w:r>
        <w:rPr>
          <w:rFonts w:hint="eastAsia" w:ascii="宋体" w:hAnsi="宋体" w:eastAsia="宋体" w:cs="宋体"/>
          <w:sz w:val="24"/>
          <w:szCs w:val="24"/>
          <w:lang w:eastAsia="zh-CN"/>
        </w:rPr>
        <w:t>供应商</w:t>
      </w:r>
      <w:r>
        <w:rPr>
          <w:rFonts w:hint="eastAsia" w:ascii="宋体" w:hAnsi="宋体" w:eastAsia="宋体" w:cs="宋体"/>
          <w:sz w:val="24"/>
          <w:szCs w:val="24"/>
        </w:rPr>
        <w:t>向</w:t>
      </w:r>
      <w:r>
        <w:rPr>
          <w:rFonts w:hint="eastAsia" w:ascii="宋体" w:hAnsi="宋体" w:eastAsia="宋体" w:cs="宋体"/>
          <w:sz w:val="24"/>
          <w:szCs w:val="24"/>
          <w:lang w:eastAsia="zh-CN"/>
        </w:rPr>
        <w:t>采购人</w:t>
      </w:r>
      <w:r>
        <w:rPr>
          <w:rFonts w:hint="eastAsia" w:ascii="宋体" w:hAnsi="宋体" w:eastAsia="宋体" w:cs="宋体"/>
          <w:sz w:val="24"/>
          <w:szCs w:val="24"/>
        </w:rPr>
        <w:t>、招标代理人提供不正当利益；</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.2.7 </w:t>
      </w:r>
      <w:r>
        <w:rPr>
          <w:rFonts w:hint="eastAsia" w:cs="宋体"/>
          <w:sz w:val="24"/>
          <w:szCs w:val="24"/>
          <w:lang w:eastAsia="zh-CN"/>
        </w:rPr>
        <w:t>成交供应商</w:t>
      </w:r>
      <w:r>
        <w:rPr>
          <w:rFonts w:hint="eastAsia" w:ascii="宋体" w:hAnsi="宋体" w:eastAsia="宋体" w:cs="宋体"/>
          <w:sz w:val="24"/>
          <w:szCs w:val="24"/>
        </w:rPr>
        <w:t xml:space="preserve">不按规定的要求签订合同； </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.2.8 法律、法规规定的其他情况。</w:t>
      </w:r>
    </w:p>
    <w:p>
      <w:pPr>
        <w:pStyle w:val="7"/>
        <w:spacing w:line="360" w:lineRule="auto"/>
        <w:ind w:left="0" w:leftChars="0" w:firstLine="0" w:firstLineChars="0"/>
        <w:rPr>
          <w:rFonts w:hint="eastAsia" w:ascii="宋体" w:hAnsi="宋体" w:eastAsia="宋体" w:cs="宋体"/>
          <w:sz w:val="24"/>
          <w:szCs w:val="24"/>
        </w:rPr>
      </w:pPr>
      <w:bookmarkStart w:id="90" w:name="_Toc28565"/>
      <w:bookmarkStart w:id="91" w:name="_Toc144974547"/>
      <w:bookmarkStart w:id="92" w:name="_Toc152045580"/>
      <w:bookmarkStart w:id="93" w:name="_Toc179632598"/>
      <w:bookmarkStart w:id="94" w:name="_Toc285809517"/>
      <w:bookmarkStart w:id="95" w:name="_Toc152042357"/>
      <w:bookmarkStart w:id="96" w:name="_Toc14751"/>
      <w:bookmarkStart w:id="97" w:name="_Toc11951"/>
      <w:r>
        <w:rPr>
          <w:rFonts w:hint="eastAsia" w:ascii="宋体" w:hAnsi="宋体" w:eastAsia="宋体" w:cs="宋体"/>
          <w:sz w:val="24"/>
          <w:szCs w:val="24"/>
        </w:rPr>
        <w:t>1</w:t>
      </w:r>
      <w:r>
        <w:rPr>
          <w:rFonts w:hint="eastAsia" w:cs="宋体"/>
          <w:sz w:val="24"/>
          <w:szCs w:val="24"/>
          <w:lang w:val="en-US" w:eastAsia="zh-CN"/>
        </w:rPr>
        <w:t>3</w:t>
      </w:r>
      <w:r>
        <w:rPr>
          <w:rFonts w:hint="eastAsia" w:ascii="宋体" w:hAnsi="宋体" w:eastAsia="宋体" w:cs="宋体"/>
          <w:sz w:val="24"/>
          <w:szCs w:val="24"/>
        </w:rPr>
        <w:t>、需要补充的其他内容</w:t>
      </w:r>
      <w:bookmarkEnd w:id="90"/>
      <w:bookmarkEnd w:id="91"/>
      <w:bookmarkEnd w:id="92"/>
      <w:bookmarkEnd w:id="93"/>
      <w:bookmarkEnd w:id="94"/>
      <w:bookmarkEnd w:id="95"/>
      <w:bookmarkEnd w:id="96"/>
      <w:bookmarkEnd w:id="97"/>
    </w:p>
    <w:p>
      <w:pPr>
        <w:spacing w:line="360" w:lineRule="auto"/>
        <w:ind w:left="0" w:leftChars="0"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w:t>
      </w:r>
      <w:r>
        <w:rPr>
          <w:rFonts w:hint="eastAsia" w:cs="宋体"/>
          <w:b/>
          <w:bCs w:val="0"/>
          <w:sz w:val="24"/>
          <w:szCs w:val="24"/>
          <w:lang w:val="en-US" w:eastAsia="zh-CN"/>
        </w:rPr>
        <w:t>3</w:t>
      </w:r>
      <w:r>
        <w:rPr>
          <w:rFonts w:hint="eastAsia" w:ascii="宋体" w:hAnsi="宋体" w:eastAsia="宋体" w:cs="宋体"/>
          <w:b/>
          <w:bCs w:val="0"/>
          <w:sz w:val="24"/>
          <w:szCs w:val="24"/>
          <w:lang w:val="en-US" w:eastAsia="zh-CN"/>
        </w:rPr>
        <w:t>.1 政策性优惠政策</w:t>
      </w:r>
    </w:p>
    <w:p>
      <w:pPr>
        <w:pStyle w:val="38"/>
        <w:spacing w:line="36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.1.1支持监狱企业发展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给予监狱企业和戒毒企业（含新疆生产建设兵团）价格扣除:根据《关于政府采购支持监狱企业发展有关问题的通知》(财库[2014]68号)文件规定:在政府采购活动中，监狱企业视同小型、微型企业，享受预留份额、评审中价格扣除等政府采购促进中小企业发展的政府采购政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开标时，供应商须提供省级及以上监狱管理局、戒毒管理局(含新疆生产建设兵团)出具的属于监狱企业的证明文件，否则不给予价格扣除。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3</w:t>
      </w:r>
      <w:r>
        <w:rPr>
          <w:rFonts w:hint="eastAsia" w:ascii="宋体" w:hAnsi="宋体" w:eastAsia="宋体" w:cs="宋体"/>
          <w:sz w:val="24"/>
          <w:szCs w:val="24"/>
          <w:lang w:val="en-US" w:eastAsia="zh-CN"/>
        </w:rPr>
        <w:t>.1.2促进残疾人就业政府采购政策</w:t>
      </w:r>
    </w:p>
    <w:p>
      <w:pPr>
        <w:spacing w:line="360" w:lineRule="auto"/>
        <w:ind w:firstLine="480" w:firstLineChars="200"/>
        <w:rPr>
          <w:rFonts w:hint="eastAsia"/>
        </w:rPr>
      </w:pPr>
      <w:r>
        <w:rPr>
          <w:rFonts w:hint="eastAsia" w:ascii="宋体" w:hAnsi="宋体" w:eastAsia="宋体" w:cs="宋体"/>
          <w:sz w:val="24"/>
          <w:szCs w:val="24"/>
          <w:lang w:val="en-US" w:eastAsia="zh-CN"/>
        </w:rPr>
        <w:t>根据《财政部民政部中国残疾人联合会关于促进残疾人就业政府采购政策的通知》财库(2017)141号文件规定，在政府采购活动中，残疾人福利性单位视同小型、微型企业，享受预留份额、评审中价格扣除等促进中小企业发展的政府采购政策。若供应商为残疾人福利性单位，须提供残疾人福利性单位声明函，并对声明的真实性负责。中标后随中标公告一并发出，接受社会监督。</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.1.3节能、环保政策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.1.4价格扣除幅度：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节能产品(强制采购节能产品除外)价格分加分幅度：价格评标总分值的4%；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节能产品(强制采购节能产品除外)技术分加分幅度：技术评标总分值的4%；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环保产品价格分加分幅度：价格评标总分值的4%；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环保产品技术分加分幅度：技术评标总分值的4%；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.1.5 节能、环保产品应符合以下条件：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（1）列入财政部、国家发展改革委制定最新公布的《节能产品政府采购清单》和财政部、环保部制定最新公布的《环境标志产品政府采购清单》的产品。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（2）属于政府强制采购节能产品的，投标产品必须在最新公布的《节能产品政府采购清单》内，否则按无效报价处理；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.1.6 节能、环保产品证明材料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（1）如所投产品为节能（强制采购产品除外）、环保产品，须按规定格式逐项填写节能、环保产品明细表。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（2）供应商提供最新公布的《节能产品政府采购清单》、《环境标志产品政府采购清单》截图并加盖供应商公章。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（3）以上证明材料缺一项不予加分。 </w:t>
      </w:r>
    </w:p>
    <w:p>
      <w:pPr>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b w:val="0"/>
          <w:bCs w:val="0"/>
          <w:color w:val="auto"/>
          <w:sz w:val="24"/>
          <w:szCs w:val="24"/>
          <w:highlight w:val="none"/>
          <w:lang w:val="en-US" w:eastAsia="zh-CN"/>
        </w:rPr>
        <w:t>注：供应商所提供的材料或填写的内容必须真实、有效，如有虚假，一经查实报价无效或取消成交资格，并按照《中华人民共和国政府采购法》第七十七条第一款“提供虚假材料谋取中标的”进行处罚，给招标人造成损失的应承担赔偿责任。</w:t>
      </w:r>
    </w:p>
    <w:p>
      <w:pPr>
        <w:spacing w:line="600" w:lineRule="exact"/>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w:t>
      </w:r>
      <w:r>
        <w:rPr>
          <w:rFonts w:hint="eastAsia" w:cs="宋体"/>
          <w:b/>
          <w:sz w:val="24"/>
          <w:szCs w:val="24"/>
          <w:lang w:val="en-US" w:eastAsia="zh-CN"/>
        </w:rPr>
        <w:t>4</w:t>
      </w:r>
      <w:r>
        <w:rPr>
          <w:rFonts w:hint="eastAsia" w:ascii="宋体" w:hAnsi="宋体" w:eastAsia="宋体" w:cs="宋体"/>
          <w:b/>
          <w:sz w:val="24"/>
          <w:szCs w:val="24"/>
        </w:rPr>
        <w:t>、需要补充的其他内容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w:t>
      </w:r>
    </w:p>
    <w:p>
      <w:pPr>
        <w:widowControl/>
        <w:spacing w:line="500" w:lineRule="exact"/>
        <w:ind w:firstLine="480" w:firstLineChars="200"/>
        <w:jc w:val="left"/>
        <w:rPr>
          <w:rFonts w:hint="eastAsia" w:ascii="宋体" w:hAnsi="宋体" w:eastAsia="宋体" w:cs="宋体"/>
          <w:kern w:val="0"/>
          <w:sz w:val="24"/>
          <w:lang w:val="zh-CN"/>
        </w:rPr>
      </w:pPr>
    </w:p>
    <w:p>
      <w:pPr>
        <w:spacing w:line="480" w:lineRule="exact"/>
        <w:ind w:firstLine="720" w:firstLineChars="200"/>
        <w:rPr>
          <w:rFonts w:hint="eastAsia" w:ascii="宋体" w:hAnsi="宋体" w:eastAsia="宋体" w:cs="宋体"/>
          <w:sz w:val="36"/>
          <w:szCs w:val="36"/>
        </w:rPr>
      </w:pPr>
    </w:p>
    <w:p>
      <w:pPr>
        <w:pStyle w:val="6"/>
        <w:spacing w:line="500" w:lineRule="exact"/>
        <w:rPr>
          <w:rFonts w:hint="eastAsia" w:ascii="宋体" w:hAnsi="宋体" w:eastAsia="宋体" w:cs="宋体"/>
          <w:sz w:val="36"/>
          <w:szCs w:val="36"/>
        </w:rPr>
      </w:pPr>
      <w:r>
        <w:rPr>
          <w:rFonts w:hint="eastAsia" w:ascii="宋体" w:hAnsi="宋体" w:eastAsia="宋体" w:cs="宋体"/>
          <w:sz w:val="36"/>
          <w:szCs w:val="36"/>
        </w:rPr>
        <w:br w:type="page"/>
      </w:r>
      <w:bookmarkStart w:id="98" w:name="_Toc8675"/>
      <w:bookmarkStart w:id="99" w:name="_Toc24611"/>
      <w:bookmarkStart w:id="100" w:name="_Toc11721"/>
      <w:r>
        <w:rPr>
          <w:rFonts w:hint="eastAsia" w:ascii="宋体" w:hAnsi="宋体" w:eastAsia="宋体" w:cs="宋体"/>
          <w:sz w:val="36"/>
          <w:szCs w:val="36"/>
        </w:rPr>
        <w:t>第三章 竞争性磋商办法</w:t>
      </w:r>
      <w:bookmarkEnd w:id="34"/>
      <w:bookmarkEnd w:id="35"/>
      <w:bookmarkEnd w:id="36"/>
      <w:bookmarkEnd w:id="37"/>
      <w:bookmarkEnd w:id="38"/>
      <w:bookmarkEnd w:id="98"/>
      <w:bookmarkEnd w:id="99"/>
      <w:bookmarkEnd w:id="100"/>
    </w:p>
    <w:p>
      <w:pPr>
        <w:spacing w:line="500" w:lineRule="exact"/>
        <w:outlineLvl w:val="1"/>
        <w:rPr>
          <w:rFonts w:hint="eastAsia" w:ascii="宋体" w:hAnsi="宋体" w:eastAsia="宋体" w:cs="宋体"/>
          <w:b/>
          <w:sz w:val="24"/>
        </w:rPr>
      </w:pPr>
      <w:bookmarkStart w:id="101" w:name="_Toc489390345"/>
      <w:bookmarkStart w:id="102" w:name="_Toc31727"/>
      <w:r>
        <w:rPr>
          <w:rFonts w:hint="eastAsia" w:ascii="宋体" w:hAnsi="宋体" w:eastAsia="宋体" w:cs="宋体"/>
          <w:b/>
          <w:sz w:val="24"/>
        </w:rPr>
        <w:t>一、磋商程序</w:t>
      </w:r>
      <w:bookmarkEnd w:id="101"/>
      <w:bookmarkEnd w:id="102"/>
    </w:p>
    <w:p>
      <w:pPr>
        <w:spacing w:line="500" w:lineRule="exact"/>
        <w:ind w:firstLine="435"/>
        <w:rPr>
          <w:rFonts w:hint="eastAsia" w:ascii="宋体" w:hAnsi="宋体" w:eastAsia="宋体" w:cs="宋体"/>
          <w:b/>
          <w:sz w:val="24"/>
        </w:rPr>
      </w:pPr>
      <w:r>
        <w:rPr>
          <w:rFonts w:hint="eastAsia" w:ascii="宋体" w:hAnsi="宋体" w:eastAsia="宋体" w:cs="宋体"/>
          <w:b/>
          <w:sz w:val="24"/>
        </w:rPr>
        <w:t>1、资格性审查。</w:t>
      </w:r>
    </w:p>
    <w:p>
      <w:pPr>
        <w:pageBreakBefore w:val="0"/>
        <w:widowControl w:val="0"/>
        <w:tabs>
          <w:tab w:val="left" w:pos="785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磋商开始后，磋商小组依据磋商文件规定，对资格</w:t>
      </w:r>
      <w:r>
        <w:rPr>
          <w:rFonts w:hint="eastAsia" w:ascii="宋体" w:hAnsi="宋体" w:eastAsia="宋体" w:cs="宋体"/>
          <w:b w:val="0"/>
          <w:bCs w:val="0"/>
          <w:sz w:val="24"/>
          <w:szCs w:val="24"/>
          <w:highlight w:val="none"/>
          <w:lang w:val="en-US" w:eastAsia="zh-CN"/>
        </w:rPr>
        <w:t>证明</w:t>
      </w:r>
      <w:r>
        <w:rPr>
          <w:rFonts w:hint="eastAsia" w:ascii="宋体" w:hAnsi="宋体" w:eastAsia="宋体" w:cs="宋体"/>
          <w:b w:val="0"/>
          <w:bCs w:val="0"/>
          <w:sz w:val="24"/>
          <w:szCs w:val="24"/>
          <w:highlight w:val="none"/>
          <w:lang w:eastAsia="zh-CN"/>
        </w:rPr>
        <w:t>材料进行审查，供应商应提供以下证件的</w:t>
      </w:r>
      <w:r>
        <w:rPr>
          <w:rFonts w:hint="eastAsia" w:ascii="宋体" w:hAnsi="宋体" w:eastAsia="宋体" w:cs="宋体"/>
          <w:b/>
          <w:bCs/>
          <w:sz w:val="24"/>
          <w:szCs w:val="24"/>
          <w:highlight w:val="none"/>
          <w:lang w:eastAsia="zh-CN"/>
        </w:rPr>
        <w:t>原件</w:t>
      </w:r>
      <w:r>
        <w:rPr>
          <w:rFonts w:hint="eastAsia" w:ascii="宋体" w:hAnsi="宋体" w:eastAsia="宋体" w:cs="宋体"/>
          <w:b/>
          <w:bCs/>
          <w:sz w:val="24"/>
          <w:szCs w:val="24"/>
          <w:highlight w:val="none"/>
          <w:lang w:val="en-US" w:eastAsia="zh-CN"/>
        </w:rPr>
        <w:t>扫描件</w:t>
      </w:r>
      <w:r>
        <w:rPr>
          <w:rFonts w:hint="eastAsia" w:ascii="宋体" w:hAnsi="宋体" w:eastAsia="宋体" w:cs="宋体"/>
          <w:b w:val="0"/>
          <w:bCs w:val="0"/>
          <w:sz w:val="24"/>
          <w:szCs w:val="24"/>
          <w:highlight w:val="none"/>
          <w:lang w:val="en-US" w:eastAsia="zh-CN"/>
        </w:rPr>
        <w:t>附在电子响应文件中</w:t>
      </w:r>
      <w:r>
        <w:rPr>
          <w:rFonts w:hint="eastAsia" w:ascii="宋体" w:hAnsi="宋体" w:eastAsia="宋体" w:cs="宋体"/>
          <w:b w:val="0"/>
          <w:bCs w:val="0"/>
          <w:sz w:val="24"/>
          <w:szCs w:val="24"/>
          <w:highlight w:val="none"/>
          <w:lang w:eastAsia="zh-CN"/>
        </w:rPr>
        <w:t>，审查合格的供应商才有资格进行磋商和最终报价。</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（1）带有统一社会信用代码的营业执照副本；</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（2）法定代表人身份证（法定代表人</w:t>
      </w:r>
      <w:r>
        <w:rPr>
          <w:rFonts w:hint="eastAsia" w:cs="宋体"/>
          <w:b/>
          <w:bCs/>
          <w:sz w:val="24"/>
          <w:szCs w:val="24"/>
          <w:highlight w:val="none"/>
          <w:lang w:val="en-US" w:eastAsia="zh-CN"/>
        </w:rPr>
        <w:t>参与电子开标会议</w:t>
      </w:r>
      <w:r>
        <w:rPr>
          <w:rFonts w:hint="eastAsia" w:ascii="宋体" w:hAnsi="宋体" w:eastAsia="宋体" w:cs="宋体"/>
          <w:b/>
          <w:bCs/>
          <w:sz w:val="24"/>
          <w:szCs w:val="24"/>
          <w:highlight w:val="none"/>
          <w:lang w:eastAsia="zh-CN"/>
        </w:rPr>
        <w:t>的）或法人授权委托书及其被委托人身份证、法人身份证复印件（委托代理人</w:t>
      </w:r>
      <w:r>
        <w:rPr>
          <w:rFonts w:hint="eastAsia" w:cs="宋体"/>
          <w:b/>
          <w:bCs/>
          <w:sz w:val="24"/>
          <w:szCs w:val="24"/>
          <w:highlight w:val="none"/>
          <w:lang w:val="en-US" w:eastAsia="zh-CN"/>
        </w:rPr>
        <w:t>参与电子开标会议</w:t>
      </w:r>
      <w:r>
        <w:rPr>
          <w:rFonts w:hint="eastAsia" w:ascii="宋体" w:hAnsi="宋体" w:eastAsia="宋体" w:cs="宋体"/>
          <w:b/>
          <w:bCs/>
          <w:sz w:val="24"/>
          <w:szCs w:val="24"/>
          <w:highlight w:val="none"/>
          <w:lang w:eastAsia="zh-CN"/>
        </w:rPr>
        <w:t>的）；</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菏泽市政府采购供应商资格信用承诺函；（格式详见响应文件格式）</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（4）中小企业声明函；（格式详见响应文件格式）</w:t>
      </w:r>
      <w:r>
        <w:rPr>
          <w:rFonts w:hint="eastAsia" w:cs="宋体"/>
          <w:b/>
          <w:bCs/>
          <w:sz w:val="24"/>
          <w:szCs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以上资格证件缺项或有一项或多项不合格者，作无效报价处理，不再参与下一步评审程序，供应商应对提供的资料负责。</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根据菏财采【2022】9 号文规定，在政府采购活动中，供应商只需在资格审查环节提供满足相应条件的资格承诺函，不在需要提供以下证明材料（资格信用承诺格式详见响应文件格式）：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 符合国家规定的财务状况报告；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 依法缴纳税收的证明材料；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 依法缴纳社会保障金的证明材料；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 具备履行合同所必需的设备和专业技术能力的证明材料；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 参加政府采购活动（以开启时间为准）前 3 年内，供应商和其法定代表人无行贿犯罪行为、在经营活动中没有重大违法记录以及本项目开启时未被禁止参加本项目所在地的政府采购活动的证明材料； </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 未被列入失信被执行人、企业经营异常名录、重大税收违法案件当事人名单以及政府采购严重违法失信行为记录名单的证明材料。 </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lang w:eastAsia="zh-CN"/>
        </w:rPr>
      </w:pPr>
      <w:r>
        <w:rPr>
          <w:rFonts w:hint="eastAsia" w:ascii="宋体" w:hAnsi="宋体" w:eastAsia="宋体" w:cs="宋体"/>
          <w:b/>
          <w:bCs/>
          <w:kern w:val="2"/>
          <w:sz w:val="24"/>
          <w:szCs w:val="24"/>
          <w:lang w:val="en-US" w:eastAsia="zh-CN" w:bidi="ar-SA"/>
        </w:rPr>
        <w:t>以上证明材料需潜在成交供应商在采购项目评标环节结束后 5 个工作日内，按采 购文件要求，将上述由资格承诺函所替代的证明材料提交采购人核验，核验无误后， 发出成交通知书。</w:t>
      </w:r>
    </w:p>
    <w:p>
      <w:pPr>
        <w:spacing w:line="500" w:lineRule="exact"/>
        <w:ind w:firstLine="435"/>
        <w:rPr>
          <w:rFonts w:hint="eastAsia" w:ascii="宋体" w:hAnsi="宋体" w:eastAsia="宋体" w:cs="宋体"/>
          <w:b/>
          <w:sz w:val="24"/>
        </w:rPr>
      </w:pPr>
      <w:r>
        <w:rPr>
          <w:rFonts w:hint="eastAsia" w:ascii="宋体" w:hAnsi="宋体" w:eastAsia="宋体" w:cs="宋体"/>
          <w:b/>
          <w:sz w:val="24"/>
        </w:rPr>
        <w:t>2、符合性审查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2.1磋商小组依据磋商文件规定，对响应文件的内容是否完整、文件签署是否正确、响应文件是否符合磋商文件的要求进行审查，以确定是否对磋商文件的实质性要求作出响应。</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2.2在符合性审查中如出现下列情况之一的响应文件，按</w:t>
      </w:r>
      <w:r>
        <w:rPr>
          <w:rFonts w:hint="eastAsia" w:ascii="宋体" w:hAnsi="宋体" w:eastAsia="宋体" w:cs="宋体"/>
          <w:b/>
          <w:sz w:val="24"/>
        </w:rPr>
        <w:t>无效响应文件</w:t>
      </w:r>
      <w:r>
        <w:rPr>
          <w:rFonts w:hint="eastAsia" w:ascii="宋体" w:hAnsi="宋体" w:eastAsia="宋体" w:cs="宋体"/>
          <w:sz w:val="24"/>
        </w:rPr>
        <w:t>处理，不再进行磋商，磋商小组当场告知供应商：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（1）响应文件未按规定</w:t>
      </w:r>
      <w:r>
        <w:rPr>
          <w:rFonts w:hint="eastAsia" w:ascii="宋体" w:hAnsi="宋体" w:eastAsia="宋体" w:cs="宋体"/>
          <w:sz w:val="24"/>
          <w:lang w:val="en-US" w:eastAsia="zh-CN"/>
        </w:rPr>
        <w:t>签字、盖章的</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（2）响应文件中提供虚假或失实资料的；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（3）不满足磋商文件其他实质性要求的；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（4）法律、法规中有关无效投标的其他情况。</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3、磋商程序</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围绕磋商要点，磋商小组</w:t>
      </w:r>
      <w:r>
        <w:rPr>
          <w:rFonts w:hint="eastAsia" w:ascii="宋体" w:hAnsi="宋体" w:eastAsia="宋体" w:cs="宋体"/>
          <w:sz w:val="24"/>
          <w:szCs w:val="24"/>
          <w:lang w:val="en-US" w:eastAsia="zh-CN"/>
        </w:rPr>
        <w:t>与通过评审的供应商逐一</w:t>
      </w:r>
      <w:r>
        <w:rPr>
          <w:rFonts w:hint="eastAsia" w:ascii="宋体" w:hAnsi="宋体" w:eastAsia="宋体" w:cs="宋体"/>
          <w:sz w:val="24"/>
          <w:szCs w:val="24"/>
        </w:rPr>
        <w:t>进行磋商。供应商磋商顺序由磋商小组现场决定。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磋商过程中，磋商小组可以根据磋商情况实质性变动采购需求中的技术、服务要求以及合同草案条款，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章。供应商应根据磋商小组的要求，以书面形式在规定时间内做出响应，未做出响应的响应文件将被拒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3.3</w:t>
      </w:r>
      <w:r>
        <w:rPr>
          <w:rFonts w:hint="eastAsia" w:ascii="宋体" w:hAnsi="宋体" w:eastAsia="宋体" w:cs="宋体"/>
          <w:b/>
          <w:bCs/>
          <w:sz w:val="24"/>
          <w:szCs w:val="24"/>
        </w:rPr>
        <w:t>本次磋商采用二轮报价法（最终报价），供应商递交的响应文件中的报价为一轮报价。</w:t>
      </w:r>
      <w:r>
        <w:rPr>
          <w:rFonts w:hint="eastAsia" w:ascii="宋体" w:hAnsi="宋体" w:cs="宋体"/>
          <w:b/>
          <w:bCs/>
          <w:sz w:val="24"/>
          <w:szCs w:val="24"/>
          <w:lang w:val="en-US" w:eastAsia="zh-CN"/>
        </w:rPr>
        <w:t>在赢标电子招标采购交易平台（菏泽专区）（http://hz.fzbidding.com）按照要求提交二次报价</w:t>
      </w:r>
      <w:r>
        <w:rPr>
          <w:rFonts w:hint="eastAsia" w:ascii="宋体" w:hAnsi="宋体" w:cs="宋体"/>
          <w:b/>
          <w:bCs/>
          <w:sz w:val="24"/>
          <w:szCs w:val="24"/>
          <w:lang w:eastAsia="zh-CN"/>
        </w:rPr>
        <w:t>。</w:t>
      </w:r>
      <w:r>
        <w:rPr>
          <w:rFonts w:hint="eastAsia" w:ascii="宋体" w:hAnsi="宋体" w:eastAsia="宋体" w:cs="宋体"/>
          <w:b/>
          <w:bCs/>
          <w:sz w:val="24"/>
          <w:szCs w:val="24"/>
        </w:rPr>
        <w:t>二轮报价不得高于一轮报价，</w:t>
      </w:r>
      <w:r>
        <w:rPr>
          <w:rFonts w:hint="eastAsia" w:ascii="宋体" w:hAnsi="宋体" w:eastAsia="宋体" w:cs="宋体"/>
          <w:b/>
          <w:bCs/>
          <w:sz w:val="24"/>
          <w:szCs w:val="24"/>
          <w:lang w:val="en-US" w:eastAsia="zh-CN"/>
        </w:rPr>
        <w:t>否则以递交的响应文件</w:t>
      </w:r>
      <w:r>
        <w:rPr>
          <w:rFonts w:hint="eastAsia" w:ascii="宋体" w:hAnsi="宋体" w:cs="宋体"/>
          <w:b/>
          <w:bCs/>
          <w:sz w:val="24"/>
          <w:szCs w:val="24"/>
          <w:lang w:val="en-US" w:eastAsia="zh-CN"/>
        </w:rPr>
        <w:t>中的</w:t>
      </w:r>
      <w:r>
        <w:rPr>
          <w:rFonts w:hint="eastAsia" w:ascii="宋体" w:hAnsi="宋体" w:eastAsia="宋体" w:cs="宋体"/>
          <w:b/>
          <w:bCs/>
          <w:sz w:val="24"/>
          <w:szCs w:val="24"/>
          <w:lang w:val="en-US" w:eastAsia="zh-CN"/>
        </w:rPr>
        <w:t>报价为最终报价</w:t>
      </w:r>
      <w:r>
        <w:rPr>
          <w:rFonts w:hint="eastAsia" w:ascii="宋体" w:hAnsi="宋体" w:cs="宋体"/>
          <w:b/>
          <w:bCs/>
          <w:sz w:val="24"/>
          <w:szCs w:val="24"/>
          <w:lang w:val="en-US" w:eastAsia="zh-CN"/>
        </w:rPr>
        <w:t>，</w:t>
      </w:r>
      <w:r>
        <w:rPr>
          <w:rFonts w:hint="eastAsia" w:ascii="宋体" w:hAnsi="宋体" w:eastAsia="宋体" w:cs="宋体"/>
          <w:b/>
          <w:bCs/>
          <w:sz w:val="24"/>
          <w:szCs w:val="24"/>
        </w:rPr>
        <w:t>所有报价均以人民币报价，以“元”为计价单位</w:t>
      </w:r>
      <w:r>
        <w:rPr>
          <w:rFonts w:hint="eastAsia" w:ascii="宋体" w:hAnsi="宋体" w:cs="宋体"/>
          <w:b/>
          <w:bCs/>
          <w:sz w:val="24"/>
          <w:szCs w:val="24"/>
          <w:lang w:eastAsia="zh-CN"/>
        </w:rPr>
        <w:t>。</w:t>
      </w:r>
      <w:r>
        <w:rPr>
          <w:rFonts w:hint="eastAsia" w:ascii="宋体" w:hAnsi="宋体" w:eastAsia="宋体" w:cs="宋体"/>
          <w:sz w:val="24"/>
          <w:szCs w:val="24"/>
        </w:rPr>
        <w:t>磋商小组将要求</w:t>
      </w:r>
      <w:r>
        <w:rPr>
          <w:rFonts w:hint="eastAsia" w:ascii="宋体" w:hAnsi="宋体" w:eastAsia="宋体" w:cs="宋体"/>
          <w:sz w:val="24"/>
          <w:szCs w:val="24"/>
          <w:lang w:val="en-US" w:eastAsia="zh-CN"/>
        </w:rPr>
        <w:t>通过评审</w:t>
      </w:r>
      <w:r>
        <w:rPr>
          <w:rFonts w:hint="eastAsia" w:ascii="宋体" w:hAnsi="宋体" w:eastAsia="宋体" w:cs="宋体"/>
          <w:sz w:val="24"/>
          <w:szCs w:val="24"/>
        </w:rPr>
        <w:t>的供应商在规定时间内提交最终报价。在规定时间内没有提交最终报价的磋商供应商，视同退出磋商。未通过实质性响应的供应商将不再进行最终报价。经磋商确定最终采购需求和提交最终报价的供应商后，由磋商小组采用综合评分法对提交最终报价的供应商的响应文件和最终报价进行综合评分</w:t>
      </w:r>
      <w:r>
        <w:rPr>
          <w:rFonts w:hint="eastAsia" w:ascii="宋体" w:hAnsi="宋体" w:eastAsia="宋体" w:cs="宋体"/>
          <w:sz w:val="24"/>
          <w:szCs w:val="24"/>
          <w:lang w:eastAsia="zh-CN"/>
        </w:rPr>
        <w:t>。</w:t>
      </w:r>
      <w:r>
        <w:rPr>
          <w:rFonts w:hint="eastAsia" w:ascii="宋体" w:hAnsi="宋体" w:eastAsia="宋体" w:cs="宋体"/>
          <w:b w:val="0"/>
          <w:bCs w:val="0"/>
          <w:sz w:val="24"/>
          <w:szCs w:val="24"/>
        </w:rPr>
        <w:t>供应商报价明显低于市场价格和其他供应商报价的,须出具书面说明其报价详情,否则磋商小组有权按恶意竞争处理,其报价无效。</w:t>
      </w:r>
    </w:p>
    <w:p>
      <w:pPr>
        <w:pStyle w:val="2"/>
        <w:rPr>
          <w:rFonts w:hint="eastAsia"/>
          <w:b/>
          <w:bCs/>
        </w:rPr>
      </w:pPr>
      <w:r>
        <w:rPr>
          <w:rFonts w:hint="eastAsia"/>
          <w:b/>
          <w:bCs/>
          <w:lang w:val="en-US" w:eastAsia="zh-CN"/>
        </w:rPr>
        <w:t>注：（1）评委老师发起磋商后，供应商需在该项目的操作台“评标澄清”-"报价”界面右下角聊天窗口进行磋商，磋商后立即在磋商截止时间前进行报价。栏目所传输的文本、数字等信息及其附件为供应商的承诺，具有法律效力，供应商必须按其承诺执行，否则视为虚假应标，将追究相关责任；</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4、综合评审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103" w:name="_Toc309377239"/>
      <w:bookmarkStart w:id="104" w:name="_Toc428972292"/>
      <w:r>
        <w:rPr>
          <w:rFonts w:hint="eastAsia" w:ascii="宋体" w:hAnsi="宋体" w:eastAsia="宋体" w:cs="宋体"/>
          <w:sz w:val="24"/>
          <w:szCs w:val="24"/>
          <w:lang w:val="en-US" w:eastAsia="zh-CN"/>
        </w:rPr>
        <w:t>4</w:t>
      </w:r>
      <w:r>
        <w:rPr>
          <w:rFonts w:hint="eastAsia" w:ascii="宋体" w:hAnsi="宋体" w:eastAsia="宋体" w:cs="宋体"/>
          <w:sz w:val="24"/>
          <w:szCs w:val="24"/>
        </w:rPr>
        <w:t>.1对通过资格性和符合性审查的</w:t>
      </w:r>
      <w:r>
        <w:rPr>
          <w:rFonts w:hint="eastAsia" w:ascii="宋体" w:hAnsi="宋体" w:eastAsia="宋体" w:cs="宋体"/>
          <w:sz w:val="24"/>
          <w:szCs w:val="24"/>
          <w:lang w:eastAsia="zh-CN"/>
        </w:rPr>
        <w:t>响应文件</w:t>
      </w:r>
      <w:r>
        <w:rPr>
          <w:rFonts w:hint="eastAsia" w:ascii="宋体" w:hAnsi="宋体" w:eastAsia="宋体" w:cs="宋体"/>
          <w:sz w:val="24"/>
          <w:szCs w:val="24"/>
        </w:rPr>
        <w:t>，磋商小组将根据竞争性磋商文件确定的评标标准和方法作进一步的比较和评价。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.2磋商小组严格按照竞争性磋商文件的要求和评审因素进行评标分析。</w:t>
      </w:r>
    </w:p>
    <w:bookmarkEnd w:id="103"/>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5、响应文件的澄清和补正</w:t>
      </w:r>
      <w:bookmarkEnd w:id="104"/>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105" w:name="_Toc22978"/>
      <w:r>
        <w:rPr>
          <w:rFonts w:hint="eastAsia" w:ascii="宋体" w:hAnsi="宋体" w:eastAsia="宋体" w:cs="宋体"/>
          <w:sz w:val="24"/>
          <w:szCs w:val="24"/>
          <w:lang w:val="en-US" w:eastAsia="zh-CN"/>
        </w:rPr>
        <w:t>5.1</w:t>
      </w:r>
      <w:r>
        <w:rPr>
          <w:rFonts w:hint="eastAsia" w:ascii="宋体" w:hAnsi="宋体" w:eastAsia="宋体" w:cs="宋体"/>
          <w:sz w:val="24"/>
          <w:szCs w:val="24"/>
        </w:rPr>
        <w:t>在磋商过程中，磋商小组可以书面形式要求供应商对所提交的</w:t>
      </w:r>
      <w:r>
        <w:rPr>
          <w:rFonts w:hint="eastAsia" w:ascii="宋体" w:hAnsi="宋体" w:eastAsia="宋体" w:cs="宋体"/>
          <w:sz w:val="24"/>
          <w:szCs w:val="24"/>
          <w:lang w:eastAsia="zh-CN"/>
        </w:rPr>
        <w:t>响应文件</w:t>
      </w:r>
      <w:r>
        <w:rPr>
          <w:rFonts w:hint="eastAsia" w:ascii="宋体" w:hAnsi="宋体" w:eastAsia="宋体" w:cs="宋体"/>
          <w:sz w:val="24"/>
          <w:szCs w:val="24"/>
        </w:rPr>
        <w:t>中不明确的内容进行书面澄清或说明，或者对细微偏差进行补正。磋商小组不接受供应商主动提出的澄清、说明或补正。磋商小组对供应商提交的澄清、说明或补正有疑问的，可以要求供应商进一步澄清、说明或补正，直至满足磋商小组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供应商的书面澄清、说明和补正属于</w:t>
      </w:r>
      <w:r>
        <w:rPr>
          <w:rFonts w:hint="eastAsia" w:ascii="宋体" w:hAnsi="宋体" w:eastAsia="宋体" w:cs="宋体"/>
          <w:sz w:val="24"/>
          <w:szCs w:val="24"/>
          <w:lang w:eastAsia="zh-CN"/>
        </w:rPr>
        <w:t>响应文件</w:t>
      </w:r>
      <w:r>
        <w:rPr>
          <w:rFonts w:hint="eastAsia" w:ascii="宋体" w:hAnsi="宋体" w:eastAsia="宋体" w:cs="宋体"/>
          <w:sz w:val="24"/>
          <w:szCs w:val="24"/>
        </w:rPr>
        <w:t>的组成部分。磋商小组要求供应商澄清、说明或者更正</w:t>
      </w:r>
      <w:r>
        <w:rPr>
          <w:rFonts w:hint="eastAsia" w:ascii="宋体" w:hAnsi="宋体" w:eastAsia="宋体" w:cs="宋体"/>
          <w:sz w:val="24"/>
          <w:szCs w:val="24"/>
          <w:lang w:eastAsia="zh-CN"/>
        </w:rPr>
        <w:t>响应文件</w:t>
      </w:r>
      <w:r>
        <w:rPr>
          <w:rFonts w:hint="eastAsia" w:ascii="宋体" w:hAnsi="宋体" w:eastAsia="宋体" w:cs="宋体"/>
          <w:sz w:val="24"/>
          <w:szCs w:val="24"/>
        </w:rPr>
        <w:t>应当以书面形式作出。供应商的澄清、说明或者更正应当由法定代表人或其授权代表签字或者加盖公章。由授权代表签字的，应当附法定代表人授权书。</w:t>
      </w:r>
    </w:p>
    <w:p>
      <w:pPr>
        <w:pStyle w:val="7"/>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bookmarkStart w:id="106" w:name="_Toc9976"/>
      <w:bookmarkStart w:id="107" w:name="_Toc12782"/>
      <w:bookmarkStart w:id="108" w:name="_Toc11045"/>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定</w:t>
      </w:r>
      <w:r>
        <w:rPr>
          <w:rFonts w:hint="eastAsia" w:ascii="宋体" w:hAnsi="宋体" w:eastAsia="宋体" w:cs="宋体"/>
          <w:sz w:val="24"/>
          <w:szCs w:val="24"/>
        </w:rPr>
        <w:t>标</w:t>
      </w:r>
      <w:bookmarkEnd w:id="105"/>
      <w:bookmarkEnd w:id="106"/>
      <w:bookmarkEnd w:id="107"/>
      <w:bookmarkEnd w:id="108"/>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磋商小组应当根据综合评分情况，按照评审得分由高到低顺序推荐3名成交候选供应商。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磋商小组完成磋商后，应当向采购人提交书面报告。</w:t>
      </w:r>
    </w:p>
    <w:p>
      <w:pPr>
        <w:spacing w:line="360" w:lineRule="auto"/>
        <w:ind w:firstLine="480" w:firstLineChars="200"/>
        <w:rPr>
          <w:rFonts w:hint="eastAsia" w:ascii="宋体" w:hAnsi="宋体" w:eastAsia="宋体" w:cs="宋体"/>
          <w:color w:val="000000"/>
          <w:sz w:val="24"/>
        </w:rPr>
      </w:pPr>
    </w:p>
    <w:p>
      <w:pPr>
        <w:spacing w:line="500" w:lineRule="exact"/>
        <w:rPr>
          <w:rFonts w:hint="eastAsia" w:ascii="宋体" w:hAnsi="宋体" w:eastAsia="宋体" w:cs="宋体"/>
          <w:sz w:val="24"/>
        </w:rPr>
      </w:pPr>
    </w:p>
    <w:p>
      <w:pPr>
        <w:pStyle w:val="11"/>
        <w:ind w:left="900" w:hanging="480"/>
        <w:rPr>
          <w:rFonts w:hint="eastAsia" w:ascii="宋体" w:hAnsi="宋体" w:eastAsia="宋体" w:cs="宋体"/>
          <w:sz w:val="24"/>
        </w:rPr>
      </w:pPr>
    </w:p>
    <w:p>
      <w:pPr>
        <w:pStyle w:val="11"/>
        <w:ind w:left="900" w:hanging="480"/>
        <w:rPr>
          <w:rFonts w:hint="eastAsia" w:ascii="宋体" w:hAnsi="宋体" w:eastAsia="宋体" w:cs="宋体"/>
          <w:sz w:val="24"/>
        </w:rPr>
      </w:pPr>
    </w:p>
    <w:p>
      <w:pPr>
        <w:pStyle w:val="11"/>
        <w:ind w:left="900" w:hanging="480"/>
        <w:rPr>
          <w:rFonts w:hint="eastAsia" w:ascii="宋体" w:hAnsi="宋体" w:eastAsia="宋体" w:cs="宋体"/>
          <w:sz w:val="24"/>
        </w:rPr>
      </w:pPr>
    </w:p>
    <w:p>
      <w:pPr>
        <w:pStyle w:val="11"/>
        <w:ind w:left="900" w:hanging="480"/>
        <w:rPr>
          <w:rFonts w:hint="eastAsia" w:ascii="宋体" w:hAnsi="宋体" w:eastAsia="宋体" w:cs="宋体"/>
          <w:sz w:val="24"/>
        </w:rPr>
      </w:pPr>
      <w:r>
        <w:rPr>
          <w:rFonts w:hint="eastAsia" w:ascii="宋体" w:hAnsi="宋体" w:eastAsia="宋体" w:cs="宋体"/>
          <w:sz w:val="24"/>
        </w:rPr>
        <w:br w:type="page"/>
      </w:r>
    </w:p>
    <w:p>
      <w:pPr>
        <w:pStyle w:val="7"/>
        <w:spacing w:line="480" w:lineRule="exact"/>
        <w:jc w:val="center"/>
        <w:rPr>
          <w:rFonts w:hint="eastAsia" w:ascii="宋体" w:hAnsi="宋体" w:eastAsia="宋体" w:cs="宋体"/>
          <w:sz w:val="30"/>
          <w:szCs w:val="30"/>
        </w:rPr>
      </w:pPr>
      <w:bookmarkStart w:id="109" w:name="_Toc494970167"/>
      <w:bookmarkStart w:id="110" w:name="_Toc494915090"/>
      <w:bookmarkStart w:id="111" w:name="_Toc26409"/>
      <w:bookmarkStart w:id="112" w:name="_Toc494967557"/>
      <w:r>
        <w:rPr>
          <w:rFonts w:hint="eastAsia" w:ascii="宋体" w:hAnsi="宋体" w:eastAsia="宋体" w:cs="宋体"/>
          <w:sz w:val="30"/>
          <w:szCs w:val="30"/>
        </w:rPr>
        <w:t>磋商办法前附表</w:t>
      </w:r>
      <w:bookmarkEnd w:id="109"/>
      <w:bookmarkEnd w:id="110"/>
      <w:bookmarkEnd w:id="111"/>
      <w:bookmarkEnd w:id="112"/>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8"/>
        <w:gridCol w:w="989"/>
        <w:gridCol w:w="2333"/>
        <w:gridCol w:w="52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677" w:type="dxa"/>
            <w:gridSpan w:val="2"/>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条款号</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评审因素</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688" w:type="dxa"/>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1</w:t>
            </w:r>
          </w:p>
        </w:tc>
        <w:tc>
          <w:tcPr>
            <w:tcW w:w="989" w:type="dxa"/>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资格评审标准</w:t>
            </w:r>
          </w:p>
        </w:tc>
        <w:tc>
          <w:tcPr>
            <w:tcW w:w="7544" w:type="dxa"/>
            <w:gridSpan w:val="2"/>
            <w:tcBorders>
              <w:top w:val="single" w:color="auto" w:sz="4" w:space="0"/>
              <w:left w:val="single" w:color="auto" w:sz="4" w:space="0"/>
              <w:right w:val="single" w:color="auto" w:sz="4" w:space="0"/>
            </w:tcBorders>
            <w:noWrap/>
            <w:vAlign w:val="center"/>
          </w:tcPr>
          <w:p>
            <w:pPr>
              <w:pStyle w:val="7"/>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32"/>
                <w:szCs w:val="32"/>
              </w:rPr>
            </w:pPr>
            <w:r>
              <w:rPr>
                <w:rFonts w:hint="eastAsia" w:ascii="宋体" w:hAnsi="宋体" w:eastAsia="宋体" w:cs="宋体"/>
                <w:b w:val="0"/>
                <w:bCs/>
                <w:sz w:val="24"/>
                <w:szCs w:val="24"/>
              </w:rPr>
              <w:t>详见第三章“竞争性磋商办法”</w:t>
            </w:r>
            <w:r>
              <w:rPr>
                <w:rFonts w:hint="eastAsia" w:ascii="宋体" w:hAnsi="宋体" w:eastAsia="宋体" w:cs="宋体"/>
                <w:b w:val="0"/>
                <w:bCs/>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8"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2</w:t>
            </w:r>
          </w:p>
        </w:tc>
        <w:tc>
          <w:tcPr>
            <w:tcW w:w="989"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形式评审标准</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供应商名称</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ascii="宋体" w:hAnsi="宋体" w:eastAsia="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响应文件签字盖章</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cs="宋体"/>
                <w:szCs w:val="21"/>
                <w:lang w:eastAsia="zh-CN"/>
              </w:rPr>
              <w:t>响应文件</w:t>
            </w:r>
            <w:r>
              <w:rPr>
                <w:rFonts w:hint="eastAsia" w:ascii="宋体" w:hAnsi="宋体" w:eastAsia="宋体" w:cs="宋体"/>
                <w:szCs w:val="21"/>
              </w:rPr>
              <w:t>应由法定代表人或其授权委托人签字或盖章并加盖</w:t>
            </w:r>
            <w:r>
              <w:rPr>
                <w:rFonts w:hint="eastAsia" w:cs="宋体"/>
                <w:szCs w:val="21"/>
                <w:lang w:eastAsia="zh-CN"/>
              </w:rPr>
              <w:t>供应商</w:t>
            </w:r>
            <w:r>
              <w:rPr>
                <w:rFonts w:hint="eastAsia" w:ascii="宋体" w:hAnsi="宋体" w:eastAsia="宋体" w:cs="宋体"/>
                <w:szCs w:val="21"/>
              </w:rPr>
              <w:t>单位公章；不符合上述要求的，按无效报价处理。（电子</w:t>
            </w:r>
            <w:r>
              <w:rPr>
                <w:rFonts w:hint="eastAsia" w:cs="宋体"/>
                <w:szCs w:val="21"/>
                <w:lang w:val="en-US" w:eastAsia="zh-CN"/>
              </w:rPr>
              <w:t>响应文件</w:t>
            </w:r>
            <w:r>
              <w:rPr>
                <w:rFonts w:hint="eastAsia" w:ascii="宋体" w:hAnsi="宋体" w:eastAsia="宋体" w:cs="宋体"/>
                <w:szCs w:val="21"/>
              </w:rPr>
              <w:t>中使用电子签章）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报价唯一</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ascii="宋体" w:hAnsi="宋体" w:eastAsia="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989"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响应性评审</w:t>
            </w:r>
          </w:p>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标准</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服务内容</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服务期限</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cs="宋体"/>
                <w:szCs w:val="21"/>
                <w:lang w:val="en-US" w:eastAsia="zh-CN"/>
              </w:rPr>
              <w:t>服务</w:t>
            </w:r>
            <w:r>
              <w:rPr>
                <w:rFonts w:hint="eastAsia" w:ascii="宋体" w:hAnsi="宋体" w:eastAsia="宋体" w:cs="宋体"/>
                <w:szCs w:val="21"/>
              </w:rPr>
              <w:t>要求</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竞争性磋商有效期</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bl>
    <w:p>
      <w:pPr>
        <w:spacing w:line="500" w:lineRule="exact"/>
        <w:rPr>
          <w:rFonts w:hint="eastAsia" w:ascii="宋体" w:hAnsi="宋体" w:eastAsia="宋体" w:cs="宋体"/>
          <w:sz w:val="24"/>
        </w:rPr>
      </w:pPr>
    </w:p>
    <w:p>
      <w:pPr>
        <w:spacing w:line="360" w:lineRule="auto"/>
        <w:jc w:val="center"/>
        <w:outlineLvl w:val="1"/>
        <w:rPr>
          <w:rFonts w:hint="eastAsia" w:ascii="宋体" w:hAnsi="宋体" w:eastAsia="宋体" w:cs="宋体"/>
        </w:rPr>
      </w:pPr>
      <w:r>
        <w:rPr>
          <w:rFonts w:hint="eastAsia" w:ascii="宋体" w:hAnsi="宋体" w:eastAsia="宋体" w:cs="宋体"/>
          <w:b/>
          <w:bCs/>
          <w:color w:val="000000"/>
          <w:sz w:val="28"/>
          <w:szCs w:val="28"/>
        </w:rPr>
        <w:br w:type="page"/>
      </w:r>
    </w:p>
    <w:tbl>
      <w:tblPr>
        <w:tblStyle w:val="22"/>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53"/>
        <w:gridCol w:w="7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4" w:type="pct"/>
            <w:gridSpan w:val="2"/>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价格部分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以满足磋商文件要求且最终报价最低的供应商的报价为评标基准价，其价格分为满分</w:t>
            </w:r>
            <w:r>
              <w:rPr>
                <w:rFonts w:hint="eastAsia" w:cs="宋体"/>
                <w:sz w:val="24"/>
                <w:szCs w:val="24"/>
                <w:lang w:val="en-US" w:eastAsia="zh-CN"/>
              </w:rPr>
              <w:t>20</w:t>
            </w:r>
            <w:r>
              <w:rPr>
                <w:rFonts w:hint="eastAsia" w:ascii="宋体" w:hAnsi="宋体" w:eastAsia="宋体" w:cs="宋体"/>
                <w:sz w:val="24"/>
                <w:szCs w:val="24"/>
              </w:rPr>
              <w:t>分，其他投标供应商的价格分按照下列公式计算：投标报价得分 =（评标基准价/投标报价）×</w:t>
            </w:r>
            <w:r>
              <w:rPr>
                <w:rFonts w:hint="eastAsia" w:cs="宋体"/>
                <w:sz w:val="24"/>
                <w:szCs w:val="24"/>
                <w:lang w:val="en-US" w:eastAsia="zh-CN"/>
              </w:rPr>
              <w:t>20%</w:t>
            </w:r>
            <w:r>
              <w:rPr>
                <w:rFonts w:hint="eastAsia" w:ascii="宋体" w:hAnsi="宋体" w:eastAsia="宋体" w:cs="宋体"/>
                <w:sz w:val="24"/>
                <w:szCs w:val="24"/>
              </w:rPr>
              <w:t>×</w:t>
            </w:r>
            <w:r>
              <w:rPr>
                <w:rFonts w:hint="eastAsia" w:cs="宋体"/>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70</w:t>
            </w:r>
            <w:r>
              <w:rPr>
                <w:rFonts w:hint="eastAsia" w:ascii="宋体" w:hAnsi="宋体" w:eastAsia="宋体" w:cs="宋体"/>
                <w:sz w:val="24"/>
                <w:szCs w:val="24"/>
              </w:rPr>
              <w:t>分)</w:t>
            </w: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项目理解（10分）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根据供应商对项目现状、项目需求、项目目标、项目总体方案、平台功能等进行综合评估，完全符合本项目需求且条理清晰的本项得</w:t>
            </w:r>
            <w:r>
              <w:rPr>
                <w:rFonts w:hint="eastAsia" w:cs="宋体"/>
                <w:sz w:val="24"/>
                <w:szCs w:val="24"/>
                <w:lang w:val="en-US" w:eastAsia="zh-CN"/>
              </w:rPr>
              <w:t>7-10</w:t>
            </w:r>
            <w:r>
              <w:rPr>
                <w:rFonts w:hint="eastAsia" w:ascii="宋体" w:hAnsi="宋体" w:eastAsia="宋体" w:cs="宋体"/>
                <w:sz w:val="24"/>
                <w:szCs w:val="24"/>
                <w:lang w:val="en-US" w:eastAsia="zh-CN"/>
              </w:rPr>
              <w:t>分；基本满足本项目需求的得</w:t>
            </w:r>
            <w:r>
              <w:rPr>
                <w:rFonts w:hint="eastAsia" w:cs="宋体"/>
                <w:sz w:val="24"/>
                <w:szCs w:val="24"/>
                <w:lang w:val="en-US" w:eastAsia="zh-CN"/>
              </w:rPr>
              <w:t>4-7</w:t>
            </w:r>
            <w:r>
              <w:rPr>
                <w:rFonts w:hint="eastAsia" w:ascii="宋体" w:hAnsi="宋体" w:eastAsia="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实施方案（10分）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根据供应商对采购人所需的桌面操作系统软件、办公软件、软件资源与服务管理平台等需求，做出业务需求分析、安装部署，科学敷设、验收测试等的技术方案。要求方案至少包含业务需求分析方案、安装部署方案、验收测试方案等内容，内容完整无缺项</w:t>
            </w:r>
            <w:r>
              <w:rPr>
                <w:rFonts w:hint="eastAsia" w:cs="宋体"/>
                <w:sz w:val="24"/>
                <w:szCs w:val="24"/>
                <w:lang w:val="en-US" w:eastAsia="zh-CN"/>
              </w:rPr>
              <w:t>、合理</w:t>
            </w:r>
            <w:r>
              <w:rPr>
                <w:rFonts w:hint="eastAsia" w:ascii="宋体" w:hAnsi="宋体" w:eastAsia="宋体" w:cs="宋体"/>
                <w:sz w:val="24"/>
                <w:szCs w:val="24"/>
                <w:lang w:val="en-US" w:eastAsia="zh-CN"/>
              </w:rPr>
              <w:t>的</w:t>
            </w:r>
            <w:r>
              <w:rPr>
                <w:rFonts w:hint="eastAsia" w:cs="宋体"/>
                <w:sz w:val="24"/>
                <w:szCs w:val="24"/>
                <w:lang w:val="en-US" w:eastAsia="zh-CN"/>
              </w:rPr>
              <w:t>，</w:t>
            </w:r>
            <w:r>
              <w:rPr>
                <w:rFonts w:hint="eastAsia" w:ascii="宋体" w:hAnsi="宋体" w:eastAsia="宋体" w:cs="宋体"/>
                <w:sz w:val="24"/>
                <w:szCs w:val="24"/>
                <w:lang w:val="en-US" w:eastAsia="zh-CN"/>
              </w:rPr>
              <w:t>得</w:t>
            </w:r>
            <w:r>
              <w:rPr>
                <w:rFonts w:hint="eastAsia" w:cs="宋体"/>
                <w:sz w:val="24"/>
                <w:szCs w:val="24"/>
                <w:lang w:val="en-US" w:eastAsia="zh-CN"/>
              </w:rPr>
              <w:t>7-10分，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服务方案（10分）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应按照要求的项目技术服务内容及技术参数明确服务内容、服务标准、服务规划、服务质量等，服务方案论述详细合理、清晰完整并阐明项目过程中的关注要点，可行性及操作性强，并承诺按照服务方案进行组织实施，相关内容描述详细得 </w:t>
            </w:r>
            <w:r>
              <w:rPr>
                <w:rFonts w:hint="eastAsia" w:cs="宋体"/>
                <w:sz w:val="24"/>
                <w:szCs w:val="24"/>
                <w:lang w:val="en-US" w:eastAsia="zh-CN"/>
              </w:rPr>
              <w:t>7-10</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cs="宋体"/>
                <w:sz w:val="24"/>
                <w:szCs w:val="24"/>
                <w:lang w:val="en-US" w:eastAsia="zh-CN"/>
              </w:rPr>
              <w:t>人员配备</w:t>
            </w:r>
            <w:r>
              <w:rPr>
                <w:rFonts w:hint="eastAsia" w:ascii="宋体" w:hAnsi="宋体" w:eastAsia="宋体" w:cs="宋体"/>
                <w:sz w:val="24"/>
                <w:szCs w:val="24"/>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拟派实施团队人员充足、有大量相关实施经验，从业时间较长，管理和技术人员比例协调，团队整体实力强，分工安排合理，可实施性强；项目负责人经验丰富</w:t>
            </w:r>
            <w:r>
              <w:rPr>
                <w:rFonts w:hint="eastAsia" w:cs="宋体"/>
                <w:sz w:val="24"/>
                <w:szCs w:val="24"/>
                <w:lang w:eastAsia="zh-CN"/>
              </w:rPr>
              <w:t>，</w:t>
            </w:r>
            <w:r>
              <w:rPr>
                <w:rFonts w:hint="eastAsia" w:cs="宋体"/>
                <w:sz w:val="24"/>
                <w:szCs w:val="24"/>
                <w:lang w:val="en-US" w:eastAsia="zh-CN"/>
              </w:rPr>
              <w:t>人员措施完善的，得7-10分，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应急</w:t>
            </w:r>
            <w:r>
              <w:rPr>
                <w:rFonts w:hint="eastAsia" w:ascii="宋体" w:hAnsi="宋体" w:eastAsia="宋体" w:cs="宋体"/>
                <w:sz w:val="24"/>
                <w:szCs w:val="24"/>
                <w:lang w:val="en-US" w:eastAsia="zh-CN"/>
              </w:rPr>
              <w:t>方案</w:t>
            </w:r>
            <w:r>
              <w:rPr>
                <w:rFonts w:hint="eastAsia" w:ascii="宋体" w:hAnsi="宋体" w:eastAsia="宋体" w:cs="宋体"/>
                <w:sz w:val="24"/>
                <w:szCs w:val="24"/>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对供应商提供的应急处置方案，故障处理措施，应急处置团队协助进行针对性处置的能力等</w:t>
            </w:r>
            <w:r>
              <w:rPr>
                <w:rFonts w:hint="eastAsia" w:cs="宋体"/>
                <w:sz w:val="24"/>
                <w:szCs w:val="24"/>
                <w:lang w:val="en-US" w:eastAsia="zh-CN"/>
              </w:rPr>
              <w:t>方案</w:t>
            </w:r>
            <w:r>
              <w:rPr>
                <w:rFonts w:hint="eastAsia" w:ascii="宋体" w:hAnsi="宋体" w:eastAsia="宋体" w:cs="宋体"/>
                <w:sz w:val="24"/>
                <w:szCs w:val="24"/>
                <w:lang w:eastAsia="zh-CN"/>
              </w:rPr>
              <w:t>，</w:t>
            </w:r>
            <w:r>
              <w:rPr>
                <w:rFonts w:hint="eastAsia" w:ascii="宋体" w:hAnsi="宋体" w:cs="宋体"/>
                <w:sz w:val="24"/>
                <w:szCs w:val="24"/>
                <w:lang w:eastAsia="zh-CN"/>
              </w:rPr>
              <w:t>全面、完整、详细、有针对性的得</w:t>
            </w:r>
            <w:r>
              <w:rPr>
                <w:rFonts w:hint="eastAsia" w:cs="宋体"/>
                <w:sz w:val="24"/>
                <w:szCs w:val="24"/>
                <w:lang w:val="en-US" w:eastAsia="zh-CN"/>
              </w:rPr>
              <w:t>7-10</w:t>
            </w:r>
            <w:r>
              <w:rPr>
                <w:rFonts w:hint="eastAsia" w:ascii="宋体" w:hAnsi="宋体" w:cs="宋体"/>
                <w:sz w:val="24"/>
                <w:szCs w:val="24"/>
                <w:lang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培训方案</w:t>
            </w:r>
            <w:r>
              <w:rPr>
                <w:rFonts w:hint="eastAsia" w:cs="宋体"/>
                <w:sz w:val="24"/>
                <w:szCs w:val="24"/>
                <w:lang w:eastAsia="zh-CN"/>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根据</w:t>
            </w:r>
            <w:r>
              <w:rPr>
                <w:rFonts w:hint="eastAsia" w:cs="宋体"/>
                <w:sz w:val="24"/>
                <w:szCs w:val="24"/>
                <w:lang w:eastAsia="zh-CN"/>
              </w:rPr>
              <w:t>供应商</w:t>
            </w:r>
            <w:r>
              <w:rPr>
                <w:rFonts w:hint="eastAsia" w:ascii="宋体" w:hAnsi="宋体" w:eastAsia="宋体" w:cs="宋体"/>
                <w:sz w:val="24"/>
                <w:szCs w:val="24"/>
              </w:rPr>
              <w:t>培训方案的合理性、全面性、针对性，</w:t>
            </w:r>
            <w:r>
              <w:rPr>
                <w:rFonts w:hint="eastAsia" w:ascii="宋体" w:hAnsi="宋体" w:eastAsia="宋体" w:cs="宋体"/>
                <w:sz w:val="24"/>
                <w:szCs w:val="24"/>
                <w:lang w:val="en-US" w:eastAsia="zh-CN"/>
              </w:rPr>
              <w:t>培训课程</w:t>
            </w:r>
            <w:r>
              <w:rPr>
                <w:rFonts w:hint="eastAsia" w:ascii="宋体" w:hAnsi="宋体" w:eastAsia="宋体" w:cs="宋体"/>
                <w:sz w:val="24"/>
                <w:szCs w:val="24"/>
              </w:rPr>
              <w:t>能够使用户人员独立对运行操作、管理、维护、故障处理、日常维护等</w:t>
            </w:r>
            <w:r>
              <w:rPr>
                <w:rFonts w:hint="eastAsia" w:cs="宋体"/>
                <w:sz w:val="24"/>
                <w:szCs w:val="24"/>
                <w:lang w:val="en-US" w:eastAsia="zh-CN"/>
              </w:rPr>
              <w:t>方案</w:t>
            </w:r>
            <w:r>
              <w:rPr>
                <w:rFonts w:hint="eastAsia" w:ascii="宋体" w:hAnsi="宋体" w:eastAsia="宋体" w:cs="宋体"/>
                <w:sz w:val="24"/>
                <w:szCs w:val="24"/>
                <w:lang w:eastAsia="zh-CN"/>
              </w:rPr>
              <w:t>，</w:t>
            </w:r>
            <w:r>
              <w:rPr>
                <w:rFonts w:hint="eastAsia" w:ascii="宋体" w:hAnsi="宋体" w:cs="宋体"/>
                <w:sz w:val="24"/>
                <w:szCs w:val="24"/>
                <w:lang w:eastAsia="zh-CN"/>
              </w:rPr>
              <w:t>全面、完整、详细、有针对性的得</w:t>
            </w:r>
            <w:r>
              <w:rPr>
                <w:rFonts w:hint="eastAsia" w:cs="宋体"/>
                <w:sz w:val="24"/>
                <w:szCs w:val="24"/>
                <w:lang w:val="en-US" w:eastAsia="zh-CN"/>
              </w:rPr>
              <w:t>7-10</w:t>
            </w:r>
            <w:r>
              <w:rPr>
                <w:rFonts w:hint="eastAsia" w:ascii="宋体" w:hAnsi="宋体" w:cs="宋体"/>
                <w:sz w:val="24"/>
                <w:szCs w:val="24"/>
                <w:lang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售后服务(1</w:t>
            </w:r>
            <w:r>
              <w:rPr>
                <w:rFonts w:hint="eastAsia" w:cs="宋体"/>
                <w:sz w:val="24"/>
                <w:szCs w:val="24"/>
                <w:lang w:val="en-US" w:eastAsia="zh-CN"/>
              </w:rPr>
              <w:t>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对供应商的售后服务方案、服务标准、技术力量内容进行评审，提供内容详细、科学、合理，服务总体构架完整，层次清楚；进度内容安排合理、完整；实施计划详细合理的</w:t>
            </w:r>
            <w:r>
              <w:rPr>
                <w:rFonts w:hint="eastAsia" w:cs="宋体"/>
                <w:sz w:val="24"/>
                <w:szCs w:val="24"/>
                <w:lang w:val="en-US" w:eastAsia="zh-CN"/>
              </w:rPr>
              <w:t>，</w:t>
            </w:r>
            <w:r>
              <w:rPr>
                <w:rFonts w:hint="eastAsia" w:ascii="宋体" w:hAnsi="宋体" w:eastAsia="宋体" w:cs="宋体"/>
                <w:sz w:val="24"/>
                <w:szCs w:val="24"/>
                <w:lang w:val="en-US" w:eastAsia="zh-CN"/>
              </w:rPr>
              <w:t>得</w:t>
            </w:r>
            <w:r>
              <w:rPr>
                <w:rFonts w:hint="eastAsia" w:cs="宋体"/>
                <w:sz w:val="24"/>
                <w:szCs w:val="24"/>
                <w:lang w:val="en-US" w:eastAsia="zh-CN"/>
              </w:rPr>
              <w:t>7-10</w:t>
            </w:r>
            <w:r>
              <w:rPr>
                <w:rFonts w:hint="eastAsia" w:ascii="宋体" w:hAnsi="宋体" w:eastAsia="宋体" w:cs="宋体"/>
                <w:sz w:val="24"/>
                <w:szCs w:val="24"/>
                <w:lang w:val="en-US" w:eastAsia="zh-CN"/>
              </w:rPr>
              <w:t>分；</w:t>
            </w:r>
            <w:r>
              <w:rPr>
                <w:rFonts w:hint="eastAsia" w:cs="宋体"/>
                <w:sz w:val="24"/>
                <w:szCs w:val="24"/>
                <w:lang w:val="en-US" w:eastAsia="zh-CN" w:bidi="ar"/>
              </w:rPr>
              <w:t>方案</w:t>
            </w:r>
            <w:r>
              <w:rPr>
                <w:rFonts w:hint="eastAsia" w:ascii="宋体" w:hAnsi="宋体" w:eastAsia="宋体" w:cs="宋体"/>
                <w:b w:val="0"/>
                <w:bCs w:val="0"/>
                <w:kern w:val="0"/>
                <w:sz w:val="24"/>
                <w:szCs w:val="24"/>
                <w:highlight w:val="none"/>
                <w:u w:val="none"/>
                <w:shd w:val="clear" w:color="auto" w:fill="auto"/>
                <w:lang w:val="zh-CN" w:eastAsia="zh-CN"/>
              </w:rPr>
              <w:t>措施基本合理、安全可靠的得</w:t>
            </w:r>
            <w:r>
              <w:rPr>
                <w:rFonts w:hint="eastAsia" w:cs="宋体"/>
                <w:sz w:val="24"/>
                <w:szCs w:val="24"/>
                <w:lang w:val="en-US" w:eastAsia="zh-CN"/>
              </w:rPr>
              <w:t>4-7</w:t>
            </w:r>
            <w:r>
              <w:rPr>
                <w:rFonts w:hint="eastAsia" w:ascii="宋体" w:hAnsi="宋体" w:eastAsia="宋体" w:cs="宋体"/>
                <w:b w:val="0"/>
                <w:bCs w:val="0"/>
                <w:kern w:val="0"/>
                <w:sz w:val="24"/>
                <w:szCs w:val="24"/>
                <w:highlight w:val="none"/>
                <w:u w:val="none"/>
                <w:shd w:val="clear" w:color="auto" w:fill="auto"/>
                <w:lang w:val="zh-CN"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企业实力（10分）</w:t>
            </w: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技术团队(</w:t>
            </w:r>
            <w:r>
              <w:rPr>
                <w:rFonts w:hint="eastAsia" w:cs="宋体"/>
                <w:sz w:val="24"/>
                <w:szCs w:val="24"/>
                <w:highlight w:val="none"/>
                <w:lang w:val="en-US" w:eastAsia="zh-CN"/>
              </w:rPr>
              <w:t>3</w:t>
            </w:r>
            <w:r>
              <w:rPr>
                <w:rFonts w:hint="eastAsia" w:ascii="宋体" w:hAnsi="宋体" w:eastAsia="宋体" w:cs="宋体"/>
                <w:sz w:val="24"/>
                <w:szCs w:val="24"/>
                <w:highlight w:val="none"/>
              </w:rPr>
              <w:t>分)</w:t>
            </w:r>
          </w:p>
        </w:tc>
        <w:tc>
          <w:tcPr>
            <w:tcW w:w="3985" w:type="pct"/>
            <w:shd w:val="clear" w:color="auto" w:fill="auto"/>
            <w:vAlign w:val="center"/>
          </w:tcPr>
          <w:p>
            <w:pPr>
              <w:pStyle w:val="37"/>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供应商拟派本项目负责人具备信息系统项目管理师（高级）证</w:t>
            </w:r>
            <w:r>
              <w:rPr>
                <w:rFonts w:hint="eastAsia" w:cs="宋体"/>
                <w:sz w:val="24"/>
                <w:szCs w:val="24"/>
                <w:highlight w:val="none"/>
                <w:lang w:val="en-US" w:eastAsia="zh-CN"/>
              </w:rPr>
              <w:t>书</w:t>
            </w:r>
            <w:r>
              <w:rPr>
                <w:rFonts w:hint="eastAsia" w:ascii="宋体" w:hAnsi="宋体" w:eastAsia="宋体" w:cs="宋体"/>
                <w:sz w:val="24"/>
                <w:szCs w:val="24"/>
                <w:highlight w:val="none"/>
              </w:rPr>
              <w:t>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pStyle w:val="37"/>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供应商拟派本项目技术人员具备信息安全保障从业人员认证(CISAW)证书的得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pStyle w:val="37"/>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供应商拟派本项目技术人员具备CISP认证证书的得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注：须</w:t>
            </w:r>
            <w:r>
              <w:rPr>
                <w:rFonts w:hint="eastAsia" w:cs="宋体"/>
                <w:b/>
                <w:bCs/>
                <w:sz w:val="24"/>
                <w:szCs w:val="24"/>
                <w:highlight w:val="none"/>
                <w:lang w:val="en-US" w:eastAsia="zh-CN"/>
              </w:rPr>
              <w:t>将上述人员的</w:t>
            </w:r>
            <w:r>
              <w:rPr>
                <w:rFonts w:hint="eastAsia" w:ascii="宋体" w:hAnsi="宋体" w:eastAsia="宋体" w:cs="宋体"/>
                <w:b/>
                <w:bCs/>
                <w:sz w:val="24"/>
                <w:szCs w:val="24"/>
                <w:highlight w:val="none"/>
                <w:lang w:val="en-US" w:eastAsia="zh-CN"/>
              </w:rPr>
              <w:t>证书原件</w:t>
            </w:r>
            <w:r>
              <w:rPr>
                <w:rFonts w:hint="eastAsia" w:cs="宋体"/>
                <w:b/>
                <w:bCs/>
                <w:sz w:val="24"/>
                <w:szCs w:val="24"/>
                <w:highlight w:val="none"/>
                <w:lang w:val="en-US" w:eastAsia="zh-CN"/>
              </w:rPr>
              <w:t>扫描件及</w:t>
            </w:r>
            <w:r>
              <w:rPr>
                <w:rFonts w:hint="eastAsia" w:ascii="宋体" w:hAnsi="宋体" w:eastAsia="宋体" w:cs="宋体"/>
                <w:b/>
                <w:bCs/>
                <w:sz w:val="24"/>
                <w:szCs w:val="24"/>
                <w:highlight w:val="none"/>
              </w:rPr>
              <w:t>近3个月在本单位缴纳社保的证明</w:t>
            </w:r>
            <w:r>
              <w:rPr>
                <w:rFonts w:hint="eastAsia" w:ascii="宋体" w:hAnsi="宋体" w:eastAsia="宋体" w:cs="宋体"/>
                <w:b/>
                <w:bCs/>
                <w:sz w:val="24"/>
                <w:szCs w:val="24"/>
              </w:rPr>
              <w:t>附在响应文件中</w:t>
            </w:r>
            <w:r>
              <w:rPr>
                <w:rFonts w:hint="eastAsia" w:ascii="宋体" w:hAnsi="宋体" w:eastAsia="宋体" w:cs="宋体"/>
                <w:b/>
                <w:bCs/>
                <w:sz w:val="24"/>
                <w:szCs w:val="24"/>
                <w:highlight w:val="none"/>
              </w:rPr>
              <w:t>，否则不予计分。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提供</w:t>
            </w:r>
            <w:r>
              <w:rPr>
                <w:rFonts w:hint="eastAsia" w:ascii="宋体" w:hAnsi="宋体" w:eastAsia="宋体" w:cs="宋体"/>
                <w:sz w:val="24"/>
                <w:szCs w:val="24"/>
              </w:rPr>
              <w:t>所完成的</w:t>
            </w:r>
            <w:r>
              <w:rPr>
                <w:rFonts w:hint="eastAsia" w:ascii="宋体" w:hAnsi="宋体" w:eastAsia="宋体" w:cs="宋体"/>
                <w:sz w:val="24"/>
                <w:szCs w:val="24"/>
                <w:lang w:val="en-US" w:eastAsia="zh-CN"/>
              </w:rPr>
              <w:t>近三年同</w:t>
            </w:r>
            <w:r>
              <w:rPr>
                <w:rFonts w:hint="eastAsia" w:ascii="宋体" w:hAnsi="宋体" w:eastAsia="宋体" w:cs="宋体"/>
                <w:sz w:val="24"/>
                <w:szCs w:val="24"/>
              </w:rPr>
              <w:t>类</w:t>
            </w:r>
            <w:r>
              <w:rPr>
                <w:rFonts w:hint="eastAsia" w:ascii="宋体" w:hAnsi="宋体" w:eastAsia="宋体" w:cs="宋体"/>
                <w:sz w:val="24"/>
                <w:szCs w:val="24"/>
                <w:lang w:val="en-US" w:eastAsia="zh-CN"/>
              </w:rPr>
              <w:t>项目业绩，每有一份可得</w:t>
            </w:r>
            <w:r>
              <w:rPr>
                <w:rFonts w:hint="eastAsia" w:cs="宋体"/>
                <w:sz w:val="24"/>
                <w:szCs w:val="24"/>
                <w:lang w:val="en-US" w:eastAsia="zh-CN"/>
              </w:rPr>
              <w:t>0.5</w:t>
            </w:r>
            <w:r>
              <w:rPr>
                <w:rFonts w:hint="eastAsia" w:ascii="宋体" w:hAnsi="宋体" w:eastAsia="宋体" w:cs="宋体"/>
                <w:sz w:val="24"/>
                <w:szCs w:val="24"/>
              </w:rPr>
              <w:t>分，最高</w:t>
            </w:r>
            <w:r>
              <w:rPr>
                <w:rFonts w:hint="eastAsia" w:ascii="宋体" w:hAnsi="宋体" w:eastAsia="宋体" w:cs="宋体"/>
                <w:sz w:val="24"/>
                <w:szCs w:val="24"/>
                <w:lang w:val="en-US" w:eastAsia="zh-CN"/>
              </w:rPr>
              <w:t>得</w:t>
            </w:r>
            <w:r>
              <w:rPr>
                <w:rFonts w:hint="eastAsia" w:cs="宋体"/>
                <w:sz w:val="24"/>
                <w:szCs w:val="24"/>
                <w:lang w:val="en-US" w:eastAsia="zh-CN"/>
              </w:rPr>
              <w:t>2</w:t>
            </w:r>
            <w:r>
              <w:rPr>
                <w:rFonts w:hint="eastAsia" w:ascii="宋体" w:hAnsi="宋体" w:eastAsia="宋体" w:cs="宋体"/>
                <w:sz w:val="24"/>
                <w:szCs w:val="24"/>
              </w:rPr>
              <w:t xml:space="preserve">分。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注：须</w:t>
            </w:r>
            <w:r>
              <w:rPr>
                <w:rFonts w:hint="eastAsia" w:cs="宋体"/>
                <w:b/>
                <w:bCs/>
                <w:sz w:val="24"/>
                <w:szCs w:val="24"/>
                <w:lang w:val="en-US" w:eastAsia="zh-CN"/>
              </w:rPr>
              <w:t>将</w:t>
            </w:r>
            <w:r>
              <w:rPr>
                <w:rFonts w:hint="eastAsia" w:ascii="宋体" w:hAnsi="宋体" w:eastAsia="宋体" w:cs="宋体"/>
                <w:b/>
                <w:bCs/>
                <w:sz w:val="24"/>
                <w:szCs w:val="24"/>
              </w:rPr>
              <w:t>合同原件</w:t>
            </w:r>
            <w:r>
              <w:rPr>
                <w:rFonts w:hint="eastAsia" w:cs="宋体"/>
                <w:b/>
                <w:bCs/>
                <w:sz w:val="24"/>
                <w:szCs w:val="24"/>
                <w:lang w:val="en-US" w:eastAsia="zh-CN"/>
              </w:rPr>
              <w:t>扫描件</w:t>
            </w:r>
            <w:r>
              <w:rPr>
                <w:rFonts w:hint="eastAsia" w:ascii="宋体" w:hAnsi="宋体" w:eastAsia="宋体" w:cs="宋体"/>
                <w:b/>
                <w:bCs/>
                <w:sz w:val="24"/>
                <w:szCs w:val="24"/>
              </w:rPr>
              <w:t>附在响应文件中，否则</w:t>
            </w:r>
            <w:r>
              <w:rPr>
                <w:rFonts w:hint="eastAsia" w:ascii="宋体" w:hAnsi="宋体" w:eastAsia="宋体" w:cs="宋体"/>
                <w:b/>
                <w:bCs/>
                <w:sz w:val="24"/>
                <w:szCs w:val="24"/>
                <w:highlight w:val="none"/>
              </w:rPr>
              <w:t>不予计分</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rPr>
              <w:t>企业实力(</w:t>
            </w:r>
            <w:r>
              <w:rPr>
                <w:rFonts w:hint="eastAsia" w:cs="宋体"/>
                <w:sz w:val="24"/>
                <w:szCs w:val="24"/>
                <w:highlight w:val="none"/>
                <w:lang w:val="en-US" w:eastAsia="zh-CN"/>
              </w:rPr>
              <w:t>5</w:t>
            </w:r>
            <w:r>
              <w:rPr>
                <w:rFonts w:hint="eastAsia" w:ascii="宋体" w:hAnsi="宋体" w:eastAsia="宋体" w:cs="宋体"/>
                <w:sz w:val="24"/>
                <w:szCs w:val="24"/>
                <w:highlight w:val="none"/>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投标供应商具有ISO20000信息技术服务管理体系标准，得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投标供应商具有ISO27001信息安全管理体系标准，得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投标供应商具有信息安全服务资质CCRC，得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投标供应商具有ITSS信息技术服务标准认证，得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投标供应商具有运维服务领域AAA级信用企业证书得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highlight w:val="none"/>
              </w:rPr>
              <w:t>注：须</w:t>
            </w:r>
            <w:r>
              <w:rPr>
                <w:rFonts w:hint="eastAsia" w:cs="宋体"/>
                <w:b/>
                <w:bCs/>
                <w:sz w:val="24"/>
                <w:szCs w:val="24"/>
                <w:highlight w:val="none"/>
                <w:lang w:val="en-US" w:eastAsia="zh-CN"/>
              </w:rPr>
              <w:t>将</w:t>
            </w:r>
            <w:r>
              <w:rPr>
                <w:rFonts w:hint="eastAsia" w:ascii="宋体" w:hAnsi="宋体" w:eastAsia="宋体" w:cs="宋体"/>
                <w:b/>
                <w:bCs/>
                <w:sz w:val="24"/>
                <w:szCs w:val="24"/>
                <w:highlight w:val="none"/>
                <w:lang w:val="en-US" w:eastAsia="zh-CN"/>
              </w:rPr>
              <w:t>证书原件</w:t>
            </w:r>
            <w:r>
              <w:rPr>
                <w:rFonts w:hint="eastAsia" w:cs="宋体"/>
                <w:b/>
                <w:bCs/>
                <w:sz w:val="24"/>
                <w:szCs w:val="24"/>
                <w:highlight w:val="none"/>
                <w:lang w:val="en-US" w:eastAsia="zh-CN"/>
              </w:rPr>
              <w:t>扫描件</w:t>
            </w:r>
            <w:r>
              <w:rPr>
                <w:rFonts w:hint="eastAsia" w:ascii="宋体" w:hAnsi="宋体" w:eastAsia="宋体" w:cs="宋体"/>
                <w:b/>
                <w:bCs/>
                <w:sz w:val="24"/>
                <w:szCs w:val="24"/>
              </w:rPr>
              <w:t>附在响应文件中</w:t>
            </w:r>
            <w:r>
              <w:rPr>
                <w:rFonts w:hint="eastAsia" w:ascii="宋体" w:hAnsi="宋体" w:eastAsia="宋体" w:cs="宋体"/>
                <w:b/>
                <w:bCs/>
                <w:sz w:val="24"/>
                <w:szCs w:val="24"/>
                <w:highlight w:val="none"/>
              </w:rPr>
              <w:t>，否则不予计分。</w:t>
            </w:r>
          </w:p>
        </w:tc>
      </w:tr>
    </w:tbl>
    <w:p>
      <w:pPr>
        <w:spacing w:line="360" w:lineRule="auto"/>
        <w:ind w:left="0" w:leftChars="0" w:firstLine="0" w:firstLineChars="0"/>
        <w:jc w:val="both"/>
        <w:outlineLvl w:val="1"/>
        <w:rPr>
          <w:rFonts w:hint="eastAsia" w:ascii="宋体" w:hAnsi="宋体" w:eastAsia="宋体" w:cs="宋体"/>
        </w:rPr>
      </w:pPr>
    </w:p>
    <w:p>
      <w:pPr>
        <w:pStyle w:val="5"/>
        <w:rPr>
          <w:rFonts w:hint="eastAsia" w:ascii="宋体" w:hAnsi="宋体" w:eastAsia="宋体" w:cs="宋体"/>
        </w:rPr>
      </w:pPr>
    </w:p>
    <w:p>
      <w:pPr>
        <w:spacing w:line="360" w:lineRule="auto"/>
        <w:rPr>
          <w:rFonts w:hint="eastAsia" w:cs="宋体"/>
          <w:b/>
          <w:bCs/>
          <w:lang w:val="en-US" w:eastAsia="zh-CN"/>
        </w:rPr>
      </w:pPr>
      <w:r>
        <w:rPr>
          <w:rFonts w:hint="eastAsia" w:cs="宋体"/>
          <w:b/>
          <w:bCs/>
          <w:lang w:val="en-US" w:eastAsia="zh-CN"/>
        </w:rPr>
        <w:t>注：1.本评分标准表中凡涉及到的企业实力须将原件扫描件</w:t>
      </w:r>
      <w:r>
        <w:rPr>
          <w:rFonts w:hint="eastAsia" w:ascii="宋体" w:hAnsi="宋体" w:eastAsia="宋体" w:cs="宋体"/>
          <w:b/>
          <w:bCs/>
          <w:sz w:val="24"/>
          <w:szCs w:val="24"/>
        </w:rPr>
        <w:t>附在响应文件中</w:t>
      </w:r>
      <w:r>
        <w:rPr>
          <w:rFonts w:hint="eastAsia" w:cs="宋体"/>
          <w:b/>
          <w:bCs/>
          <w:lang w:val="en-US" w:eastAsia="zh-CN"/>
        </w:rPr>
        <w:t>，否则不得分。</w:t>
      </w:r>
    </w:p>
    <w:p>
      <w:pPr>
        <w:rPr>
          <w:rFonts w:hint="eastAsia" w:eastAsia="宋体"/>
          <w:lang w:val="en-US" w:eastAsia="zh-CN"/>
        </w:rPr>
        <w:sectPr>
          <w:footerReference r:id="rId8" w:type="default"/>
          <w:pgSz w:w="11910" w:h="16840"/>
          <w:pgMar w:top="1417" w:right="1417" w:bottom="1420" w:left="1417" w:header="0" w:footer="1214" w:gutter="0"/>
          <w:pgNumType w:start="1"/>
          <w:cols w:space="720" w:num="1"/>
        </w:sectPr>
      </w:pPr>
    </w:p>
    <w:p>
      <w:pPr>
        <w:pStyle w:val="13"/>
        <w:jc w:val="center"/>
        <w:outlineLvl w:val="0"/>
        <w:rPr>
          <w:rFonts w:hint="eastAsia" w:ascii="宋体" w:hAnsi="宋体" w:eastAsia="宋体" w:cs="宋体"/>
          <w:sz w:val="36"/>
          <w:szCs w:val="36"/>
          <w:highlight w:val="yellow"/>
        </w:rPr>
      </w:pPr>
      <w:bookmarkStart w:id="113" w:name="_Toc2494_WPSOffice_Level1"/>
      <w:bookmarkStart w:id="114" w:name="_Toc19073_WPSOffice_Level1"/>
      <w:bookmarkStart w:id="115" w:name="_Toc20911"/>
      <w:bookmarkStart w:id="116" w:name="_Toc16760"/>
      <w:bookmarkStart w:id="117" w:name="_Toc27315"/>
      <w:bookmarkStart w:id="118" w:name="_Toc28059"/>
      <w:bookmarkStart w:id="119" w:name="_Toc2297"/>
      <w:bookmarkStart w:id="120" w:name="_Toc20231_WPSOffice_Level1"/>
      <w:r>
        <w:rPr>
          <w:rFonts w:hint="eastAsia" w:ascii="宋体" w:hAnsi="宋体" w:eastAsia="宋体" w:cs="宋体"/>
          <w:sz w:val="36"/>
          <w:szCs w:val="36"/>
        </w:rPr>
        <w:t>第四章 合同条款</w:t>
      </w:r>
      <w:bookmarkEnd w:id="113"/>
      <w:bookmarkEnd w:id="114"/>
      <w:bookmarkEnd w:id="115"/>
      <w:bookmarkEnd w:id="116"/>
      <w:bookmarkEnd w:id="117"/>
      <w:bookmarkEnd w:id="118"/>
    </w:p>
    <w:p>
      <w:pPr>
        <w:adjustRightInd w:val="0"/>
        <w:snapToGrid w:val="0"/>
        <w:spacing w:beforeLines="50" w:line="360" w:lineRule="auto"/>
        <w:jc w:val="center"/>
        <w:rPr>
          <w:rFonts w:hint="eastAsia" w:ascii="宋体" w:hAnsi="宋体" w:eastAsia="宋体" w:cs="宋体"/>
          <w:b/>
          <w:bCs/>
          <w:sz w:val="24"/>
        </w:rPr>
      </w:pPr>
      <w:bookmarkStart w:id="121" w:name="_Toc8773"/>
      <w:bookmarkStart w:id="122" w:name="_Toc27926"/>
      <w:bookmarkStart w:id="123" w:name="_Toc9676"/>
    </w:p>
    <w:p>
      <w:pPr>
        <w:adjustRightInd w:val="0"/>
        <w:snapToGrid w:val="0"/>
        <w:spacing w:beforeLines="50" w:line="360" w:lineRule="auto"/>
        <w:jc w:val="center"/>
        <w:rPr>
          <w:rFonts w:hint="eastAsia" w:ascii="宋体" w:hAnsi="宋体" w:eastAsia="宋体" w:cs="宋体"/>
          <w:b/>
          <w:bCs/>
          <w:sz w:val="24"/>
        </w:rPr>
      </w:pPr>
    </w:p>
    <w:bookmarkEnd w:id="121"/>
    <w:bookmarkEnd w:id="122"/>
    <w:bookmarkEnd w:id="123"/>
    <w:p>
      <w:pPr>
        <w:pStyle w:val="30"/>
        <w:ind w:left="0" w:leftChars="0" w:firstLine="0" w:firstLineChars="0"/>
        <w:jc w:val="center"/>
        <w:rPr>
          <w:rFonts w:hint="eastAsia" w:ascii="宋体" w:hAnsi="宋体" w:eastAsia="宋体" w:cs="宋体"/>
        </w:rPr>
      </w:pPr>
      <w:r>
        <w:rPr>
          <w:rFonts w:hint="eastAsia" w:ascii="宋体" w:hAnsi="宋体" w:eastAsia="宋体" w:cs="宋体"/>
          <w:b/>
          <w:kern w:val="40"/>
          <w:sz w:val="24"/>
          <w:szCs w:val="24"/>
          <w:highlight w:val="none"/>
          <w:lang w:eastAsia="zh-CN"/>
        </w:rPr>
        <w:t>（</w:t>
      </w:r>
      <w:r>
        <w:rPr>
          <w:rFonts w:hint="eastAsia" w:ascii="宋体" w:hAnsi="宋体" w:eastAsia="宋体" w:cs="宋体"/>
          <w:b/>
          <w:kern w:val="40"/>
          <w:sz w:val="24"/>
          <w:szCs w:val="24"/>
          <w:highlight w:val="none"/>
          <w:lang w:val="en-US" w:eastAsia="zh-CN"/>
        </w:rPr>
        <w:t>详见中国山东政府采购网合同模板</w:t>
      </w:r>
      <w:r>
        <w:rPr>
          <w:rFonts w:hint="eastAsia" w:ascii="宋体" w:hAnsi="宋体" w:eastAsia="宋体" w:cs="宋体"/>
          <w:b/>
          <w:kern w:val="40"/>
          <w:sz w:val="24"/>
          <w:szCs w:val="24"/>
          <w:highlight w:val="none"/>
          <w:lang w:eastAsia="zh-CN"/>
        </w:rPr>
        <w:t>）</w:t>
      </w: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p>
    <w:p>
      <w:pPr>
        <w:pStyle w:val="30"/>
        <w:ind w:firstLine="424"/>
        <w:rPr>
          <w:rFonts w:hint="eastAsia" w:ascii="宋体" w:hAnsi="宋体" w:eastAsia="宋体" w:cs="宋体"/>
        </w:rPr>
      </w:pPr>
      <w:r>
        <w:rPr>
          <w:rFonts w:hint="eastAsia" w:ascii="宋体" w:hAnsi="宋体" w:eastAsia="宋体" w:cs="宋体"/>
        </w:rPr>
        <w:br w:type="page"/>
      </w:r>
    </w:p>
    <w:p>
      <w:pPr>
        <w:pStyle w:val="6"/>
        <w:spacing w:line="500" w:lineRule="exact"/>
        <w:rPr>
          <w:rFonts w:hint="default" w:ascii="宋体" w:hAnsi="宋体" w:eastAsia="宋体" w:cs="宋体"/>
          <w:sz w:val="36"/>
          <w:szCs w:val="36"/>
          <w:lang w:val="en-US" w:eastAsia="zh-CN"/>
        </w:rPr>
      </w:pPr>
      <w:bookmarkStart w:id="124" w:name="_Toc15925"/>
      <w:bookmarkStart w:id="125" w:name="_Toc28024"/>
      <w:bookmarkStart w:id="126" w:name="_Toc30821_WPSOffice_Level1"/>
      <w:r>
        <w:rPr>
          <w:rFonts w:hint="eastAsia" w:ascii="宋体" w:hAnsi="宋体" w:eastAsia="宋体" w:cs="宋体"/>
          <w:sz w:val="36"/>
          <w:szCs w:val="36"/>
        </w:rPr>
        <w:t>第五章</w:t>
      </w:r>
      <w:bookmarkEnd w:id="119"/>
      <w:bookmarkEnd w:id="120"/>
      <w:bookmarkEnd w:id="124"/>
      <w:bookmarkEnd w:id="125"/>
      <w:bookmarkEnd w:id="126"/>
      <w:bookmarkStart w:id="127" w:name="_Toc414538499"/>
      <w:bookmarkStart w:id="128" w:name="_Toc10324"/>
      <w:r>
        <w:rPr>
          <w:rFonts w:hint="eastAsia" w:ascii="宋体" w:hAnsi="宋体" w:eastAsia="宋体" w:cs="宋体"/>
          <w:sz w:val="36"/>
          <w:szCs w:val="36"/>
        </w:rPr>
        <w:t xml:space="preserve">  项目技术服务内容及</w:t>
      </w:r>
      <w:r>
        <w:rPr>
          <w:rFonts w:hint="eastAsia" w:cs="宋体"/>
          <w:sz w:val="36"/>
          <w:szCs w:val="36"/>
          <w:lang w:val="en-US" w:eastAsia="zh-CN"/>
        </w:rPr>
        <w:t>技术参数</w:t>
      </w:r>
    </w:p>
    <w:p>
      <w:pPr>
        <w:pStyle w:val="6"/>
        <w:jc w:val="both"/>
      </w:pPr>
      <w:bookmarkStart w:id="129" w:name="_Toc19943"/>
      <w:bookmarkStart w:id="130" w:name="_Toc11286_WPSOffice_Level1"/>
      <w:bookmarkStart w:id="131" w:name="_Toc25224"/>
      <w:bookmarkStart w:id="132" w:name="_Toc28621_WPSOffice_Level1"/>
      <w:bookmarkStart w:id="133" w:name="_Toc6660"/>
      <w:r>
        <w:rPr>
          <w:rFonts w:hint="eastAsia"/>
        </w:rPr>
        <w:t>一、项目说明</w:t>
      </w:r>
      <w:bookmarkEnd w:id="129"/>
    </w:p>
    <w:p>
      <w:pPr>
        <w:spacing w:line="240" w:lineRule="auto"/>
        <w:ind w:firstLine="642" w:firstLineChars="200"/>
        <w:rPr>
          <w:rFonts w:ascii="仿宋_GB2312" w:hAnsi="仿宋" w:eastAsia="仿宋_GB2312" w:cs="仿宋"/>
          <w:sz w:val="32"/>
          <w:szCs w:val="32"/>
        </w:rPr>
      </w:pPr>
      <w:r>
        <w:rPr>
          <w:rFonts w:hint="eastAsia" w:ascii="仿宋_GB2312" w:hAnsi="仿宋" w:eastAsia="仿宋_GB2312" w:cs="仿宋"/>
          <w:sz w:val="32"/>
          <w:szCs w:val="32"/>
        </w:rPr>
        <w:t>通过搭建“软件正版化服务与管理平台”（以下简称“平台”）对全校师生提供正版软件服务，并以此为基础共同宣传推进软件正版化工作。</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1、通过对服务平台的功能收集和研讨，共同搭建服务平台；</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2、通过服务平台向全校用户提供包括正版软件使用在内的各项服务；</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3、通过对正版化的宣传，在学校师生中普及软件知识产权保护意识，树立正版软件使用观念；</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4、针对学校教职工使用的电脑以及学校固定资产类设备，购买正版软件使用授权，完成软件正版化；</w:t>
      </w:r>
    </w:p>
    <w:p>
      <w:pPr>
        <w:spacing w:line="240" w:lineRule="auto"/>
        <w:ind w:firstLine="642" w:firstLineChars="200"/>
        <w:rPr>
          <w:rFonts w:ascii="仿宋_GB2312" w:hAnsi="仿宋" w:eastAsia="仿宋_GB2312" w:cs="仿宋"/>
          <w:sz w:val="32"/>
          <w:szCs w:val="32"/>
        </w:rPr>
      </w:pPr>
      <w:r>
        <w:rPr>
          <w:rFonts w:hint="eastAsia" w:ascii="仿宋_GB2312" w:hAnsi="仿宋" w:eastAsia="仿宋_GB2312" w:cs="仿宋"/>
          <w:sz w:val="32"/>
          <w:szCs w:val="32"/>
        </w:rPr>
        <w:t>正版化工作实施内容包括：操作系统（包括授权教职工和学校固定资产终端）；办公软件；软件管理及服务平台（含服务）。</w:t>
      </w:r>
    </w:p>
    <w:p>
      <w:pPr>
        <w:pStyle w:val="6"/>
        <w:jc w:val="both"/>
      </w:pPr>
      <w:r>
        <w:rPr>
          <w:rFonts w:hint="eastAsia"/>
        </w:rPr>
        <w:t>二、校园正版化服务项目说明</w:t>
      </w:r>
    </w:p>
    <w:tbl>
      <w:tblPr>
        <w:tblStyle w:val="22"/>
        <w:tblpPr w:leftFromText="180" w:rightFromText="180" w:vertAnchor="text" w:tblpXSpec="center" w:tblpY="23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1"/>
        <w:gridCol w:w="2085"/>
        <w:gridCol w:w="5896"/>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序号</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主要技术参数</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数量</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1</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桌面端操作系统许可授权服务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包括操作系统Windows</w:t>
            </w:r>
            <w:r>
              <w:rPr>
                <w:rFonts w:ascii="仿宋_GB2312" w:hAnsi="仿宋" w:eastAsia="仿宋_GB2312" w:cs="仿宋"/>
                <w:sz w:val="24"/>
                <w:szCs w:val="24"/>
              </w:rPr>
              <w:t xml:space="preserve"> </w:t>
            </w: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及Windows</w:t>
            </w:r>
            <w:r>
              <w:rPr>
                <w:rFonts w:ascii="仿宋_GB2312" w:hAnsi="仿宋" w:eastAsia="仿宋_GB2312" w:cs="仿宋"/>
                <w:sz w:val="24"/>
                <w:szCs w:val="24"/>
              </w:rPr>
              <w:t>10</w:t>
            </w:r>
            <w:r>
              <w:rPr>
                <w:rFonts w:hint="eastAsia" w:ascii="仿宋_GB2312" w:hAnsi="仿宋" w:eastAsia="仿宋_GB2312" w:cs="仿宋"/>
                <w:sz w:val="24"/>
                <w:szCs w:val="24"/>
              </w:rPr>
              <w:t>、 8.1、8、专业版系统和</w:t>
            </w:r>
            <w:r>
              <w:rPr>
                <w:rFonts w:ascii="仿宋_GB2312" w:hAnsi="仿宋" w:eastAsia="仿宋_GB2312" w:cs="仿宋"/>
                <w:sz w:val="24"/>
                <w:szCs w:val="24"/>
              </w:rPr>
              <w:t>1年</w:t>
            </w:r>
            <w:r>
              <w:rPr>
                <w:rFonts w:hint="eastAsia" w:ascii="仿宋_GB2312" w:hAnsi="仿宋" w:eastAsia="仿宋_GB2312" w:cs="仿宋"/>
                <w:sz w:val="24"/>
                <w:szCs w:val="24"/>
              </w:rPr>
              <w:t>内的升级版本使用。</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2</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办公软件许可授权服务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包括办公软件：office 2</w:t>
            </w:r>
            <w:r>
              <w:rPr>
                <w:rFonts w:ascii="仿宋_GB2312" w:hAnsi="仿宋" w:eastAsia="仿宋_GB2312" w:cs="仿宋"/>
                <w:sz w:val="24"/>
                <w:szCs w:val="24"/>
              </w:rPr>
              <w:t>021/2019/</w:t>
            </w:r>
            <w:r>
              <w:rPr>
                <w:rFonts w:hint="eastAsia" w:ascii="仿宋_GB2312" w:hAnsi="仿宋" w:eastAsia="仿宋_GB2312" w:cs="仿宋"/>
                <w:sz w:val="24"/>
                <w:szCs w:val="24"/>
              </w:rPr>
              <w:t>2016/2013专业增强版办公软件</w:t>
            </w:r>
            <w:r>
              <w:rPr>
                <w:rFonts w:ascii="仿宋_GB2312" w:hAnsi="仿宋" w:eastAsia="仿宋_GB2312" w:cs="仿宋"/>
                <w:sz w:val="24"/>
                <w:szCs w:val="24"/>
              </w:rPr>
              <w:t xml:space="preserve"> </w:t>
            </w:r>
            <w:r>
              <w:rPr>
                <w:rFonts w:hint="eastAsia" w:ascii="仿宋_GB2312" w:hAnsi="仿宋" w:eastAsia="仿宋_GB2312" w:cs="仿宋"/>
                <w:sz w:val="24"/>
                <w:szCs w:val="24"/>
              </w:rPr>
              <w:t xml:space="preserve">及office for mac </w:t>
            </w:r>
            <w:r>
              <w:rPr>
                <w:rFonts w:ascii="仿宋_GB2312" w:hAnsi="仿宋" w:eastAsia="仿宋_GB2312" w:cs="仿宋"/>
                <w:sz w:val="24"/>
                <w:szCs w:val="24"/>
              </w:rPr>
              <w:t>2019/</w:t>
            </w:r>
            <w:r>
              <w:rPr>
                <w:rFonts w:hint="eastAsia" w:ascii="仿宋_GB2312" w:hAnsi="仿宋" w:eastAsia="仿宋_GB2312" w:cs="仿宋"/>
                <w:sz w:val="24"/>
                <w:szCs w:val="24"/>
              </w:rPr>
              <w:t>2016标准版办公软件和</w:t>
            </w:r>
            <w:r>
              <w:rPr>
                <w:rFonts w:ascii="仿宋_GB2312" w:hAnsi="仿宋" w:eastAsia="仿宋_GB2312" w:cs="仿宋"/>
                <w:sz w:val="24"/>
                <w:szCs w:val="24"/>
              </w:rPr>
              <w:t>1年</w:t>
            </w:r>
            <w:r>
              <w:rPr>
                <w:rFonts w:hint="eastAsia" w:ascii="仿宋_GB2312" w:hAnsi="仿宋" w:eastAsia="仿宋_GB2312" w:cs="仿宋"/>
                <w:sz w:val="24"/>
                <w:szCs w:val="24"/>
              </w:rPr>
              <w:t>内的升级版本使用。</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3</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软件正版化管理平台和售后服务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系统包括客户端、补丁升级服务端、应用激活服务端和管理后台共四大主要板块，为用户提供系统和应用软件激活等功能，用户可以使用统一账号登录客户端选择激活方式和应用进行申请，然后在管理员分配的激活次数下对自己的系统或者应用软件进行激活，客户端还为用户提供免费的系统更新推送和病毒库更新推送。</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2.提供本地客户服务支持，24小时响应，提供定期巡检、平台升级、数据导入、更新服务、技术支持等服务。</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3.培训3名以上网络管理人员，对系统进行操作培训。</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4.提供在线技术支持服务及服务电话、服务邮箱和5</w:t>
            </w:r>
            <w:r>
              <w:rPr>
                <w:rFonts w:ascii="仿宋_GB2312" w:hAnsi="仿宋" w:eastAsia="仿宋_GB2312" w:cs="仿宋"/>
                <w:sz w:val="24"/>
                <w:szCs w:val="24"/>
              </w:rPr>
              <w:t>×</w:t>
            </w:r>
            <w:r>
              <w:rPr>
                <w:rFonts w:hint="eastAsia" w:ascii="仿宋_GB2312" w:hAnsi="仿宋" w:eastAsia="仿宋_GB2312" w:cs="仿宋"/>
                <w:sz w:val="24"/>
                <w:szCs w:val="24"/>
              </w:rPr>
              <w:t>8小时/周的服务热线。</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5.软件在升级范围时间内出现新版本应免费升级。</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bl>
    <w:p>
      <w:pPr>
        <w:pStyle w:val="6"/>
        <w:bidi w:val="0"/>
        <w:jc w:val="left"/>
        <w:rPr>
          <w:rFonts w:hint="eastAsia"/>
          <w:lang w:val="en-US" w:eastAsia="zh-CN"/>
        </w:rPr>
      </w:pPr>
      <w:bookmarkStart w:id="134" w:name="_Toc9766"/>
      <w:r>
        <w:rPr>
          <w:rFonts w:hint="eastAsia"/>
          <w:lang w:val="en-US" w:eastAsia="zh-CN"/>
        </w:rPr>
        <w:t>三、合作期限</w:t>
      </w:r>
      <w:bookmarkEnd w:id="134"/>
    </w:p>
    <w:p>
      <w:pPr>
        <w:spacing w:line="240" w:lineRule="auto"/>
        <w:ind w:firstLine="642"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1、供货方提供一年软件正版化授权及售后服务；</w:t>
      </w:r>
    </w:p>
    <w:p>
      <w:pPr>
        <w:spacing w:line="240" w:lineRule="auto"/>
        <w:ind w:firstLine="642"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val="en-US"/>
        </w:rPr>
        <w:t>合同期满后，甲方评测乙方服务期内的服务内容和质量是否达到甲方要求，如认可服务，</w:t>
      </w:r>
      <w:r>
        <w:rPr>
          <w:rFonts w:hint="eastAsia" w:ascii="仿宋_GB2312" w:hAnsi="仿宋" w:eastAsia="仿宋_GB2312" w:cs="仿宋"/>
          <w:sz w:val="32"/>
          <w:szCs w:val="32"/>
          <w:lang w:val="en-US" w:eastAsia="zh-CN"/>
        </w:rPr>
        <w:t>可</w:t>
      </w:r>
      <w:r>
        <w:rPr>
          <w:rFonts w:hint="eastAsia" w:ascii="仿宋_GB2312" w:hAnsi="仿宋" w:eastAsia="仿宋_GB2312" w:cs="仿宋"/>
          <w:sz w:val="32"/>
          <w:szCs w:val="32"/>
          <w:lang w:val="en-US"/>
        </w:rPr>
        <w:t>续签</w:t>
      </w:r>
      <w:r>
        <w:rPr>
          <w:rFonts w:hint="eastAsia" w:ascii="仿宋_GB2312" w:hAnsi="仿宋" w:eastAsia="仿宋_GB2312" w:cs="仿宋"/>
          <w:sz w:val="32"/>
          <w:szCs w:val="32"/>
        </w:rPr>
        <w:t>。</w:t>
      </w:r>
    </w:p>
    <w:p>
      <w:pPr>
        <w:pStyle w:val="6"/>
        <w:bidi w:val="0"/>
        <w:jc w:val="left"/>
        <w:rPr>
          <w:rFonts w:hint="default" w:eastAsia="宋体"/>
          <w:lang w:val="en-US" w:eastAsia="zh-CN"/>
        </w:rPr>
      </w:pPr>
      <w:bookmarkStart w:id="135" w:name="_Toc16588"/>
      <w:r>
        <w:rPr>
          <w:rFonts w:hint="eastAsia"/>
          <w:lang w:val="en-US" w:eastAsia="zh-CN"/>
        </w:rPr>
        <w:t>四</w:t>
      </w:r>
      <w:r>
        <w:rPr>
          <w:rFonts w:hint="eastAsia"/>
        </w:rPr>
        <w:t>、</w:t>
      </w:r>
      <w:r>
        <w:rPr>
          <w:rFonts w:hint="eastAsia"/>
          <w:lang w:val="en-US" w:eastAsia="zh-CN"/>
        </w:rPr>
        <w:t>服务要求</w:t>
      </w:r>
      <w:bookmarkEnd w:id="135"/>
    </w:p>
    <w:p>
      <w:pPr>
        <w:ind w:firstLine="642" w:firstLineChars="200"/>
        <w:rPr>
          <w:rFonts w:hint="eastAsia"/>
        </w:rPr>
      </w:pPr>
      <w:r>
        <w:rPr>
          <w:rFonts w:hint="eastAsia" w:ascii="仿宋_GB2312" w:hAnsi="仿宋" w:eastAsia="仿宋_GB2312" w:cs="仿宋"/>
          <w:sz w:val="32"/>
          <w:szCs w:val="32"/>
          <w:lang w:val="en-US" w:eastAsia="zh-CN"/>
        </w:rPr>
        <w:t>供货商负责软件使用培训及技术指导，运维和故障处理等服务。服务期内提供5*8小时/周电话热线和网络咨询服务软件，在质保时间内出现新版本应免费升级。</w:t>
      </w:r>
    </w:p>
    <w:p>
      <w:pPr>
        <w:pStyle w:val="6"/>
        <w:jc w:val="both"/>
      </w:pPr>
      <w:r>
        <w:rPr>
          <w:rFonts w:hint="eastAsia"/>
          <w:lang w:val="en-US" w:eastAsia="zh-CN"/>
        </w:rPr>
        <w:t>五</w:t>
      </w:r>
      <w:r>
        <w:rPr>
          <w:rFonts w:hint="eastAsia"/>
        </w:rPr>
        <w:t>、菏泽职业学院校园正版化服务招标参数</w:t>
      </w:r>
    </w:p>
    <w:tbl>
      <w:tblPr>
        <w:tblStyle w:val="22"/>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992"/>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4"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bookmarkStart w:id="136" w:name="_Hlk47081104"/>
            <w:r>
              <w:rPr>
                <w:rFonts w:hint="eastAsia" w:ascii="仿宋_GB2312" w:hAnsi="仿宋" w:eastAsia="仿宋_GB2312" w:cs="仿宋"/>
                <w:sz w:val="24"/>
                <w:szCs w:val="24"/>
              </w:rPr>
              <w:t>序号</w:t>
            </w:r>
          </w:p>
        </w:tc>
        <w:tc>
          <w:tcPr>
            <w:tcW w:w="1276"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货物名称</w:t>
            </w:r>
          </w:p>
        </w:tc>
        <w:tc>
          <w:tcPr>
            <w:tcW w:w="992"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指标项</w:t>
            </w:r>
          </w:p>
        </w:tc>
        <w:tc>
          <w:tcPr>
            <w:tcW w:w="7245"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1</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操作系统软件服务</w:t>
            </w: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1.授权方式：校园正版协议（Campus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2.涵盖范围：学校办公室、教室、实验室和图书馆等场所的计算机包括教职工电脑和笔记本等。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3.合约期限：</w:t>
            </w:r>
            <w:r>
              <w:rPr>
                <w:rFonts w:ascii="仿宋_GB2312" w:hAnsi="仿宋" w:eastAsia="仿宋_GB2312" w:cs="仿宋"/>
                <w:sz w:val="24"/>
                <w:szCs w:val="24"/>
              </w:rPr>
              <w:t>1</w:t>
            </w: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6</w:t>
            </w:r>
            <w:r>
              <w:rPr>
                <w:rFonts w:hint="eastAsia" w:ascii="仿宋_GB2312" w:hAnsi="仿宋" w:eastAsia="仿宋_GB2312" w:cs="仿宋"/>
                <w:sz w:val="24"/>
                <w:szCs w:val="24"/>
              </w:rPr>
              <w:t>.产品语言：至少包括简体中文和英文版本。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7</w:t>
            </w:r>
            <w:r>
              <w:rPr>
                <w:rFonts w:hint="eastAsia" w:ascii="仿宋_GB2312" w:hAnsi="仿宋" w:eastAsia="仿宋_GB2312" w:cs="仿宋"/>
                <w:sz w:val="24"/>
                <w:szCs w:val="24"/>
              </w:rPr>
              <w:t>.桌面操作系统要能够支持系统之间轻松传送，可以将原有低版本系统上的文件、文件夹、程序设置和系统设置从旧 PC 转移到新 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w:t>
            </w:r>
            <w:r>
              <w:rPr>
                <w:rFonts w:hint="eastAsia" w:ascii="仿宋_GB2312" w:hAnsi="仿宋" w:eastAsia="仿宋_GB2312" w:cs="仿宋"/>
                <w:sz w:val="24"/>
                <w:szCs w:val="24"/>
              </w:rPr>
              <w:t>.支持自适应性显示器亮度。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9</w:t>
            </w:r>
            <w:r>
              <w:rPr>
                <w:rFonts w:hint="eastAsia" w:ascii="仿宋_GB2312" w:hAnsi="仿宋" w:eastAsia="仿宋_GB2312" w:cs="仿宋"/>
                <w:sz w:val="24"/>
                <w:szCs w:val="24"/>
              </w:rPr>
              <w:t>.支持用户帐户控制。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0</w:t>
            </w:r>
            <w:r>
              <w:rPr>
                <w:rFonts w:hint="eastAsia" w:ascii="仿宋_GB2312" w:hAnsi="仿宋" w:eastAsia="仿宋_GB2312" w:cs="仿宋"/>
                <w:sz w:val="24"/>
                <w:szCs w:val="24"/>
              </w:rPr>
              <w:t>.支持家长控制（Parental Controls）。父母可以指定孩子能玩哪些计算机游戏，并且能设置孩子使用计算机的时间，以确保不会耽误孩子的学习。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.平台安全稳定。具有基本的安全功能（如内核修补程序保护、服务强化、数据执行保护、地址空间布局随机选择和强制完整性级别），并针对恶意软件和攻击提供增强的防护。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2</w:t>
            </w:r>
            <w:r>
              <w:rPr>
                <w:rFonts w:hint="eastAsia" w:ascii="仿宋_GB2312" w:hAnsi="仿宋" w:eastAsia="仿宋_GB2312" w:cs="仿宋"/>
                <w:sz w:val="24"/>
                <w:szCs w:val="24"/>
              </w:rPr>
              <w:t>.支持系统还原。系统还原点在备份中也可用，可以从一个更大的还原点列表中进行选择，并且可能覆盖很长一段时间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3</w:t>
            </w:r>
            <w:r>
              <w:rPr>
                <w:rFonts w:hint="eastAsia" w:ascii="仿宋_GB2312" w:hAnsi="仿宋" w:eastAsia="仿宋_GB2312" w:cs="仿宋"/>
                <w:sz w:val="24"/>
                <w:szCs w:val="24"/>
              </w:rPr>
              <w:t>.支持操作系统疑难解答可以诊断并解决常见的操作系统和硬件问题，它针对一些不同类型的问题提供了内置的疑难解答程序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4</w:t>
            </w:r>
            <w:r>
              <w:rPr>
                <w:rFonts w:hint="eastAsia" w:ascii="仿宋_GB2312" w:hAnsi="仿宋" w:eastAsia="仿宋_GB2312" w:cs="仿宋"/>
                <w:sz w:val="24"/>
                <w:szCs w:val="24"/>
              </w:rPr>
              <w:t>.支持自动化的启动修复工具来诊断和恢复无法启动的系统。如果遇到无法成功启动的情况，操作系统会自动加载启动修复，它会扫描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5</w:t>
            </w:r>
            <w:r>
              <w:rPr>
                <w:rFonts w:hint="eastAsia" w:ascii="仿宋_GB2312" w:hAnsi="仿宋" w:eastAsia="仿宋_GB2312" w:cs="仿宋"/>
                <w:sz w:val="24"/>
                <w:szCs w:val="24"/>
              </w:rPr>
              <w:t>.支持从其他电脑远程访问某台电脑上的文件和程序。能够进行脱机操作，自动将电脑和网络上的内容同步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6</w:t>
            </w:r>
            <w:r>
              <w:rPr>
                <w:rFonts w:hint="eastAsia" w:ascii="仿宋_GB2312" w:hAnsi="仿宋" w:eastAsia="仿宋_GB2312" w:cs="仿宋"/>
                <w:sz w:val="24"/>
                <w:szCs w:val="24"/>
              </w:rPr>
              <w:t>.支持智能输入和最近搜索。它可以根据之前的搜索呈现输入建议，并动态过滤这些建议来帮助缩小结果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7</w:t>
            </w:r>
            <w:r>
              <w:rPr>
                <w:rFonts w:hint="eastAsia" w:ascii="仿宋_GB2312" w:hAnsi="仿宋" w:eastAsia="仿宋_GB2312" w:cs="仿宋"/>
                <w:sz w:val="24"/>
                <w:szCs w:val="24"/>
              </w:rPr>
              <w:t>.支持操作系统内置支持的的本地全局搜索。只需在搜索框中输入少许字母，就会显示匹配的文档、图片、音乐、电子邮件和其他文件的列表，所有内容都排列在相应的类别下。还可以直接在开始菜单中搜索控制面板任务，以便快速调整计算机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numPr>
                <w:ilvl w:val="0"/>
                <w:numId w:val="11"/>
              </w:numPr>
              <w:kinsoku/>
              <w:overflowPunct/>
              <w:topLinePunct w:val="0"/>
              <w:bidi w:val="0"/>
              <w:adjustRightInd/>
              <w:snapToGrid/>
              <w:ind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提供操作系统的功能检测报告</w:t>
            </w:r>
          </w:p>
          <w:p>
            <w:pPr>
              <w:keepNext w:val="0"/>
              <w:keepLines w:val="0"/>
              <w:pageBreakBefore w:val="0"/>
              <w:widowControl/>
              <w:numPr>
                <w:ilvl w:val="0"/>
                <w:numId w:val="0"/>
              </w:numPr>
              <w:kinsoku/>
              <w:overflowPunct/>
              <w:topLinePunct w:val="0"/>
              <w:bidi w:val="0"/>
              <w:adjustRightInd/>
              <w:snapToGrid/>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并将扫描件</w:t>
            </w:r>
            <w:r>
              <w:rPr>
                <w:rFonts w:hint="eastAsia" w:ascii="仿宋_GB2312" w:hAnsi="仿宋" w:eastAsia="仿宋_GB2312" w:cs="仿宋"/>
                <w:b/>
                <w:bCs/>
                <w:sz w:val="24"/>
                <w:szCs w:val="24"/>
              </w:rPr>
              <w:t>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numPr>
                <w:ilvl w:val="0"/>
                <w:numId w:val="11"/>
              </w:numPr>
              <w:kinsoku/>
              <w:overflowPunct/>
              <w:topLinePunct w:val="0"/>
              <w:bidi w:val="0"/>
              <w:adjustRightInd/>
              <w:snapToGrid/>
              <w:ind w:left="0" w:leftChars="0"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提供非进口报告</w:t>
            </w:r>
          </w:p>
          <w:p>
            <w:pPr>
              <w:keepNext w:val="0"/>
              <w:keepLines w:val="0"/>
              <w:pageBreakBefore w:val="0"/>
              <w:widowControl/>
              <w:numPr>
                <w:ilvl w:val="0"/>
                <w:numId w:val="0"/>
              </w:numPr>
              <w:kinsoku/>
              <w:overflowPunct/>
              <w:topLinePunct w:val="0"/>
              <w:bidi w:val="0"/>
              <w:adjustRightInd/>
              <w:snapToGrid/>
              <w:ind w:leftChars="0"/>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并将扫描件</w:t>
            </w:r>
            <w:r>
              <w:rPr>
                <w:rFonts w:hint="eastAsia" w:ascii="仿宋_GB2312" w:hAnsi="仿宋" w:eastAsia="仿宋_GB2312" w:cs="仿宋"/>
                <w:b/>
                <w:bCs/>
                <w:sz w:val="24"/>
                <w:szCs w:val="24"/>
              </w:rPr>
              <w:t>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w:t>
            </w:r>
            <w:r>
              <w:rPr>
                <w:rFonts w:ascii="仿宋_GB2312" w:hAnsi="仿宋" w:eastAsia="仿宋_GB2312" w:cs="仿宋"/>
                <w:sz w:val="24"/>
                <w:szCs w:val="24"/>
                <w:highlight w:val="none"/>
              </w:rPr>
              <w:t>0</w:t>
            </w: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1</w:t>
            </w:r>
            <w:r>
              <w:rPr>
                <w:rFonts w:hint="eastAsia" w:ascii="仿宋_GB2312" w:hAnsi="仿宋" w:eastAsia="仿宋_GB2312" w:cs="仿宋"/>
                <w:sz w:val="24"/>
                <w:szCs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bookmarkStart w:id="137" w:name="_Hlk66721904"/>
            <w:r>
              <w:rPr>
                <w:rFonts w:ascii="仿宋_GB2312" w:hAnsi="仿宋" w:eastAsia="仿宋_GB2312" w:cs="仿宋"/>
                <w:sz w:val="24"/>
                <w:szCs w:val="24"/>
              </w:rPr>
              <w:t>2</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办公软件服务</w:t>
            </w: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1.授权方式：校园正版协议（Campus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2.涵盖范围：学校办公室、教室、实验室和图书馆等场所的计算机包括教职工电脑和笔记本等。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3.合约期限：</w:t>
            </w:r>
            <w:r>
              <w:rPr>
                <w:rFonts w:ascii="仿宋_GB2312" w:hAnsi="仿宋" w:eastAsia="仿宋_GB2312" w:cs="仿宋"/>
                <w:sz w:val="24"/>
                <w:szCs w:val="24"/>
              </w:rPr>
              <w:t>1</w:t>
            </w: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6</w:t>
            </w:r>
            <w:r>
              <w:rPr>
                <w:rFonts w:hint="eastAsia" w:ascii="仿宋_GB2312" w:hAnsi="仿宋" w:eastAsia="仿宋_GB2312" w:cs="仿宋"/>
                <w:sz w:val="24"/>
                <w:szCs w:val="24"/>
              </w:rPr>
              <w:t>.产品分别能支持Windows平台和mac平台。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7</w:t>
            </w:r>
            <w:r>
              <w:rPr>
                <w:rFonts w:hint="eastAsia" w:ascii="仿宋_GB2312" w:hAnsi="仿宋" w:eastAsia="仿宋_GB2312" w:cs="仿宋"/>
                <w:sz w:val="24"/>
                <w:szCs w:val="24"/>
              </w:rPr>
              <w:t>.必须包含以下组件：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1）文字处理软件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2）电子表格软件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3）PPT演示软件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4）电子邮件访问软件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5）电子笔记本软件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w:t>
            </w:r>
            <w:r>
              <w:rPr>
                <w:rFonts w:hint="eastAsia" w:ascii="仿宋_GB2312" w:hAnsi="仿宋" w:eastAsia="仿宋_GB2312" w:cs="仿宋"/>
                <w:sz w:val="24"/>
                <w:szCs w:val="24"/>
              </w:rPr>
              <w:t>.提供以结果为导向的用户界面，让操作更为流畅、简洁；</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 “上下文选项卡”可智能感知用户操作，并将所需命令全盘奉上</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2）智能标记等可以出现在所有应用程序中，快速帮助用户完成所需的工作</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 必须提供智能文档（SmartDoc）的操作，使文档的制作更加智能化</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4）必须提供智能图形（SmartArt）的制作，使信息以更加直观、生动的方式展现出来</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 应用程序组件之间可以相互沟通，最大限度地实现数据再利用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9</w:t>
            </w:r>
            <w:r>
              <w:rPr>
                <w:rFonts w:hint="eastAsia" w:ascii="仿宋_GB2312" w:hAnsi="仿宋" w:eastAsia="仿宋_GB2312" w:cs="仿宋"/>
                <w:sz w:val="24"/>
                <w:szCs w:val="24"/>
              </w:rPr>
              <w:t>.必须应包含12类不同应用领域的300多个函数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0</w:t>
            </w:r>
            <w:r>
              <w:rPr>
                <w:rFonts w:hint="eastAsia" w:ascii="仿宋_GB2312" w:hAnsi="仿宋" w:eastAsia="仿宋_GB2312" w:cs="仿宋"/>
                <w:sz w:val="24"/>
                <w:szCs w:val="24"/>
              </w:rPr>
              <w:t>.必须提供强大的数据分析和处理能力，包括筛选数据、分类汇总、规划求解、最优化方案统计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.必须提供专业化的数据分析工具库，如回归分析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2</w:t>
            </w:r>
            <w:r>
              <w:rPr>
                <w:rFonts w:hint="eastAsia" w:ascii="仿宋_GB2312" w:hAnsi="仿宋" w:eastAsia="仿宋_GB2312" w:cs="仿宋"/>
                <w:sz w:val="24"/>
                <w:szCs w:val="24"/>
              </w:rPr>
              <w:t>.必须提供数据透视分析功能和切片器功能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3</w:t>
            </w:r>
            <w:r>
              <w:rPr>
                <w:rFonts w:hint="eastAsia" w:ascii="仿宋_GB2312" w:hAnsi="仿宋" w:eastAsia="仿宋_GB2312" w:cs="仿宋"/>
                <w:sz w:val="24"/>
                <w:szCs w:val="24"/>
              </w:rPr>
              <w:t>.必须提供数据分析的迷你图设计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4</w:t>
            </w:r>
            <w:r>
              <w:rPr>
                <w:rFonts w:hint="eastAsia" w:ascii="仿宋_GB2312" w:hAnsi="仿宋" w:eastAsia="仿宋_GB2312" w:cs="仿宋"/>
                <w:sz w:val="24"/>
                <w:szCs w:val="24"/>
              </w:rPr>
              <w:t>.提供增强的条件格式功能让数据展现更为精彩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5</w:t>
            </w:r>
            <w:r>
              <w:rPr>
                <w:rFonts w:hint="eastAsia" w:ascii="仿宋_GB2312" w:hAnsi="仿宋" w:eastAsia="仿宋_GB2312" w:cs="仿宋"/>
                <w:sz w:val="24"/>
                <w:szCs w:val="24"/>
              </w:rPr>
              <w:t>.提供面向工作成果的用户界面，可使用户从收集预定义样式、表格格式、列表格式、图形效果等内容的库中进行挑选，大大节省时间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6</w:t>
            </w:r>
            <w:r>
              <w:rPr>
                <w:rFonts w:hint="eastAsia" w:ascii="仿宋_GB2312" w:hAnsi="仿宋" w:eastAsia="仿宋_GB2312" w:cs="仿宋"/>
                <w:sz w:val="24"/>
                <w:szCs w:val="24"/>
              </w:rPr>
              <w:t>.能够将网上的模板嵌入各种应用程序中，使用户可以在新建文档时，快速创建并使用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7</w:t>
            </w:r>
            <w:r>
              <w:rPr>
                <w:rFonts w:hint="eastAsia" w:ascii="仿宋_GB2312" w:hAnsi="仿宋" w:eastAsia="仿宋_GB2312" w:cs="仿宋"/>
                <w:sz w:val="24"/>
                <w:szCs w:val="24"/>
              </w:rPr>
              <w:t>.采用基于Open XML的文件格式，可提高文件的安全性，减少文件损坏的几率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18</w:t>
            </w:r>
            <w:r>
              <w:rPr>
                <w:rFonts w:hint="eastAsia" w:ascii="仿宋_GB2312" w:hAnsi="仿宋" w:eastAsia="仿宋_GB2312" w:cs="仿宋"/>
                <w:sz w:val="24"/>
                <w:szCs w:val="24"/>
              </w:rPr>
              <w:t>.提供文档检查器，可自动删除文档中的个人标识性信息，有效保护私人信息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19</w:t>
            </w:r>
            <w:r>
              <w:rPr>
                <w:rFonts w:hint="eastAsia" w:ascii="仿宋_GB2312" w:hAnsi="仿宋" w:eastAsia="仿宋_GB2312" w:cs="仿宋"/>
                <w:sz w:val="24"/>
                <w:szCs w:val="24"/>
              </w:rPr>
              <w:t>.提供文字处理软件文档的分段保护功能，使得不同用户对文档的不同部分拥有不同的编辑权限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20</w:t>
            </w:r>
            <w:r>
              <w:rPr>
                <w:rFonts w:hint="eastAsia" w:ascii="仿宋_GB2312" w:hAnsi="仿宋" w:eastAsia="仿宋_GB2312" w:cs="仿宋"/>
                <w:sz w:val="24"/>
                <w:szCs w:val="24"/>
              </w:rPr>
              <w:t>.提供更为严格的文档密保机制，有效地提高了机密文档和信息的安全性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1</w:t>
            </w:r>
            <w:r>
              <w:rPr>
                <w:rFonts w:hint="eastAsia" w:ascii="仿宋_GB2312" w:hAnsi="仿宋" w:eastAsia="仿宋_GB2312" w:cs="仿宋"/>
                <w:sz w:val="24"/>
                <w:szCs w:val="24"/>
              </w:rPr>
              <w:t>.提供共同创作功能，允许团队中的多人在同一时刻，利用多个办公软件应用程序，对同一服务器文档的不同章节进行编辑，并可同步更新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2</w:t>
            </w:r>
            <w:r>
              <w:rPr>
                <w:rFonts w:hint="eastAsia" w:ascii="仿宋_GB2312" w:hAnsi="仿宋" w:eastAsia="仿宋_GB2312" w:cs="仿宋"/>
                <w:sz w:val="24"/>
                <w:szCs w:val="24"/>
              </w:rPr>
              <w:t>.能够与前端内容创建应用集成，包括（团队协作、门户技术、内容管理、业务流程和表格、企业搜索、商业智能和与第三方应用的连接性支持）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3</w:t>
            </w:r>
            <w:r>
              <w:rPr>
                <w:rFonts w:hint="eastAsia" w:ascii="仿宋_GB2312" w:hAnsi="仿宋" w:eastAsia="仿宋_GB2312" w:cs="仿宋"/>
                <w:sz w:val="24"/>
                <w:szCs w:val="24"/>
              </w:rPr>
              <w:t>.提供丰富的扩展和开发能力</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IT人员和高级用户可以通过VBA技术、XML技术、VS.net开发定制，使其更符合企业办公的特殊需求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4</w:t>
            </w:r>
            <w:r>
              <w:rPr>
                <w:rFonts w:hint="eastAsia" w:ascii="仿宋_GB2312" w:hAnsi="仿宋" w:eastAsia="仿宋_GB2312" w:cs="仿宋"/>
                <w:sz w:val="24"/>
                <w:szCs w:val="24"/>
              </w:rPr>
              <w:t>.提供跨越手机、电脑、浏览器的使用新体验</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1）在云、数据中心和混合环境中提供最佳办公体验</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2）包括统一沟通、企业协作、商业智能、企业项目管理在内的多种解决方案供选择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numPr>
                <w:ilvl w:val="0"/>
                <w:numId w:val="12"/>
              </w:numPr>
              <w:kinsoku/>
              <w:overflowPunct/>
              <w:topLinePunct w:val="0"/>
              <w:bidi w:val="0"/>
              <w:adjustRightInd/>
              <w:snapToGrid/>
              <w:ind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提供办公软件功能的检测报告</w:t>
            </w:r>
          </w:p>
          <w:p>
            <w:pPr>
              <w:keepNext w:val="0"/>
              <w:keepLines w:val="0"/>
              <w:pageBreakBefore w:val="0"/>
              <w:widowControl/>
              <w:numPr>
                <w:ilvl w:val="0"/>
                <w:numId w:val="0"/>
              </w:numPr>
              <w:kinsoku/>
              <w:overflowPunct/>
              <w:topLinePunct w:val="0"/>
              <w:bidi w:val="0"/>
              <w:adjustRightInd/>
              <w:snapToGrid/>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并将扫描件</w:t>
            </w:r>
            <w:r>
              <w:rPr>
                <w:rFonts w:hint="eastAsia" w:ascii="仿宋_GB2312" w:hAnsi="仿宋" w:eastAsia="仿宋_GB2312" w:cs="仿宋"/>
                <w:b/>
                <w:bCs/>
                <w:sz w:val="24"/>
                <w:szCs w:val="24"/>
              </w:rPr>
              <w:t>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numPr>
                <w:ilvl w:val="0"/>
                <w:numId w:val="12"/>
              </w:numPr>
              <w:kinsoku/>
              <w:overflowPunct/>
              <w:topLinePunct w:val="0"/>
              <w:bidi w:val="0"/>
              <w:adjustRightInd/>
              <w:snapToGrid/>
              <w:ind w:left="0" w:leftChars="0" w:firstLine="0" w:firstLineChars="0"/>
              <w:textAlignment w:val="auto"/>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提供非进口报告</w:t>
            </w:r>
          </w:p>
          <w:p>
            <w:pPr>
              <w:keepNext w:val="0"/>
              <w:keepLines w:val="0"/>
              <w:pageBreakBefore w:val="0"/>
              <w:widowControl/>
              <w:numPr>
                <w:ilvl w:val="0"/>
                <w:numId w:val="0"/>
              </w:numPr>
              <w:kinsoku/>
              <w:overflowPunct/>
              <w:topLinePunct w:val="0"/>
              <w:bidi w:val="0"/>
              <w:adjustRightInd/>
              <w:snapToGrid/>
              <w:ind w:leftChars="0"/>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并将扫描件</w:t>
            </w:r>
            <w:r>
              <w:rPr>
                <w:rFonts w:hint="eastAsia" w:ascii="仿宋_GB2312" w:hAnsi="仿宋" w:eastAsia="仿宋_GB2312" w:cs="仿宋"/>
                <w:b/>
                <w:bCs/>
                <w:sz w:val="24"/>
                <w:szCs w:val="24"/>
              </w:rPr>
              <w:t>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w:t>
            </w:r>
            <w:r>
              <w:rPr>
                <w:rFonts w:ascii="仿宋_GB2312" w:hAnsi="仿宋" w:eastAsia="仿宋_GB2312" w:cs="仿宋"/>
                <w:sz w:val="24"/>
                <w:szCs w:val="24"/>
                <w:highlight w:val="none"/>
              </w:rPr>
              <w:t>7</w:t>
            </w: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28</w:t>
            </w:r>
            <w:r>
              <w:rPr>
                <w:rFonts w:hint="eastAsia" w:ascii="仿宋_GB2312" w:hAnsi="仿宋" w:eastAsia="仿宋_GB2312" w:cs="仿宋"/>
                <w:sz w:val="24"/>
                <w:szCs w:val="24"/>
              </w:rPr>
              <w:t>.提供软件补丁更新和技术支持（包括电话支持和在线支持）</w:t>
            </w:r>
          </w:p>
        </w:tc>
      </w:tr>
      <w:bookmark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3</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软件资源与服务管理平台及售后服务</w:t>
            </w: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tc>
        <w:tc>
          <w:tcPr>
            <w:tcW w:w="7245" w:type="dxa"/>
            <w:vAlign w:val="center"/>
          </w:tcPr>
          <w:p>
            <w:pPr>
              <w:pStyle w:val="32"/>
              <w:keepNext w:val="0"/>
              <w:keepLines w:val="0"/>
              <w:pageBreakBefore w:val="0"/>
              <w:widowControl/>
              <w:kinsoku/>
              <w:overflowPunct/>
              <w:topLinePunct w:val="0"/>
              <w:bidi w:val="0"/>
              <w:adjustRightInd/>
              <w:snapToGrid/>
              <w:spacing w:before="30" w:line="250" w:lineRule="exact"/>
              <w:ind w:firstLine="0" w:firstLineChars="0"/>
              <w:jc w:val="both"/>
              <w:textAlignment w:val="auto"/>
              <w:rPr>
                <w:rFonts w:ascii="仿宋_GB2312" w:hAnsi="仿宋" w:eastAsia="仿宋_GB2312" w:cs="仿宋"/>
                <w:kern w:val="2"/>
                <w:sz w:val="24"/>
                <w:szCs w:val="24"/>
                <w:lang w:val="en-US" w:bidi="ar-SA"/>
              </w:rPr>
            </w:pPr>
            <w:r>
              <w:rPr>
                <w:rFonts w:hint="eastAsia" w:ascii="仿宋_GB2312" w:hAnsi="仿宋" w:eastAsia="仿宋_GB2312" w:cs="仿宋"/>
                <w:kern w:val="2"/>
                <w:sz w:val="24"/>
                <w:szCs w:val="24"/>
                <w:lang w:val="en-US" w:bidi="ar-SA"/>
              </w:rPr>
              <w:t>使用范围：满足菏泽职业学院授权范围内师生及固定资产合法使用。</w:t>
            </w:r>
          </w:p>
          <w:p>
            <w:pPr>
              <w:keepNext w:val="0"/>
              <w:keepLines w:val="0"/>
              <w:pageBreakBefore w:val="0"/>
              <w:widowControl/>
              <w:kinsoku/>
              <w:wordWrap w:val="0"/>
              <w:overflowPunct/>
              <w:topLinePunct w:val="0"/>
              <w:autoSpaceDE w:val="0"/>
              <w:autoSpaceDN w:val="0"/>
              <w:bidi w:val="0"/>
              <w:adjustRightInd/>
              <w:snapToGrid/>
              <w:spacing w:line="300" w:lineRule="auto"/>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部署方式</w:t>
            </w:r>
            <w:r>
              <w:rPr>
                <w:rFonts w:ascii="仿宋_GB2312" w:hAnsi="仿宋" w:eastAsia="仿宋_GB2312" w:cs="仿宋"/>
                <w:sz w:val="24"/>
                <w:szCs w:val="24"/>
              </w:rPr>
              <w:t>：</w:t>
            </w:r>
            <w:r>
              <w:rPr>
                <w:rFonts w:hint="eastAsia" w:ascii="仿宋_GB2312" w:hAnsi="仿宋" w:eastAsia="仿宋_GB2312" w:cs="仿宋"/>
                <w:sz w:val="24"/>
                <w:szCs w:val="24"/>
              </w:rPr>
              <w:t>服务系统应当支持部署在学校，且支持云平台部署。</w:t>
            </w:r>
          </w:p>
          <w:p>
            <w:pPr>
              <w:keepNext w:val="0"/>
              <w:keepLines w:val="0"/>
              <w:pageBreakBefore w:val="0"/>
              <w:widowControl/>
              <w:kinsoku/>
              <w:wordWrap w:val="0"/>
              <w:overflowPunct/>
              <w:topLinePunct w:val="0"/>
              <w:autoSpaceDE w:val="0"/>
              <w:autoSpaceDN w:val="0"/>
              <w:bidi w:val="0"/>
              <w:adjustRightInd/>
              <w:snapToGrid/>
              <w:spacing w:line="300" w:lineRule="auto"/>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基本功能：平台需实现对校园软件正版化协议的软件在本单位范围内的软件下载、批量分发、软件升级、批量激活、数量统计、驱动管理等全面管理</w:t>
            </w:r>
          </w:p>
          <w:p>
            <w:pPr>
              <w:pStyle w:val="43"/>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kern w:val="2"/>
                <w:sz w:val="24"/>
                <w:szCs w:val="24"/>
              </w:rPr>
            </w:pPr>
            <w:r>
              <w:rPr>
                <w:rFonts w:hint="eastAsia" w:ascii="仿宋_GB2312" w:hAnsi="仿宋" w:eastAsia="仿宋_GB2312" w:cs="仿宋"/>
                <w:kern w:val="2"/>
                <w:sz w:val="24"/>
                <w:szCs w:val="24"/>
              </w:rPr>
              <w:t>更新及升级：</w:t>
            </w:r>
            <w:r>
              <w:rPr>
                <w:rFonts w:ascii="仿宋_GB2312" w:hAnsi="仿宋" w:eastAsia="仿宋_GB2312" w:cs="仿宋"/>
                <w:kern w:val="2"/>
                <w:sz w:val="24"/>
                <w:szCs w:val="24"/>
              </w:rPr>
              <w:t>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tc>
        <w:tc>
          <w:tcPr>
            <w:tcW w:w="7245" w:type="dxa"/>
            <w:vAlign w:val="center"/>
          </w:tcPr>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系统架构和部署</w:t>
            </w:r>
          </w:p>
          <w:p>
            <w:pPr>
              <w:pStyle w:val="7"/>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为了提高服务器资源的利用率和客户系统的稳定性，本系统采购微服务架构，在该架构中，单节点故障不会对整个系统的运行产生影响。并且本系统具备单点故障的自动恢复功能。</w:t>
            </w:r>
          </w:p>
          <w:p>
            <w:pPr>
              <w:pStyle w:val="7"/>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系统提供完全的对外接口，客户工程师可以通过这套接口实现包括客户端和网站、管理后台的自行完全的系统开发，例如站群。</w:t>
            </w:r>
          </w:p>
          <w:p>
            <w:pPr>
              <w:pStyle w:val="7"/>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架构支持服务的回滚功能，一旦新发布版本发生BUG，管理员可以在管理后台实现客户系统版本的快速回滚。</w:t>
            </w:r>
          </w:p>
          <w:p>
            <w:pPr>
              <w:pStyle w:val="7"/>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数据库采用主从架构，一旦一台服务器的数据库发生故障的时候，不会影响整个业务的正常运行。</w:t>
            </w:r>
          </w:p>
          <w:p>
            <w:pPr>
              <w:pStyle w:val="7"/>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系统采用单域名架构，支持IP直接访问。</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用户登录和注册功能</w:t>
            </w:r>
          </w:p>
          <w:p>
            <w:pPr>
              <w:pStyle w:val="7"/>
              <w:keepNext w:val="0"/>
              <w:keepLines w:val="0"/>
              <w:pageBreakBefore w:val="0"/>
              <w:widowControl/>
              <w:numPr>
                <w:ilvl w:val="0"/>
                <w:numId w:val="15"/>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具备独立的用户管理系统。用户可以通过注册、管理后台添加、邮箱验证等方式添加到系统。</w:t>
            </w:r>
          </w:p>
          <w:p>
            <w:pPr>
              <w:pStyle w:val="7"/>
              <w:keepNext w:val="0"/>
              <w:keepLines w:val="0"/>
              <w:pageBreakBefore w:val="0"/>
              <w:widowControl/>
              <w:numPr>
                <w:ilvl w:val="0"/>
                <w:numId w:val="15"/>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可以和学校的统一身份认证进行对接，对接后，用户可以通过客户的统一身份认证系统账号密码直接登录到本系统。</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用户的组织架构</w:t>
            </w:r>
          </w:p>
          <w:p>
            <w:pPr>
              <w:pStyle w:val="7"/>
              <w:keepNext w:val="0"/>
              <w:keepLines w:val="0"/>
              <w:pageBreakBefore w:val="0"/>
              <w:widowControl/>
              <w:numPr>
                <w:ilvl w:val="0"/>
                <w:numId w:val="16"/>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用户部门除了支持完全的属性组织架构外，还支持扁平灵活的分组组织结架构。用户必须隶属于一个部门，可以同时属于0个或多个分组。</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文章、视频、软件等资源的管理和升级</w:t>
            </w:r>
          </w:p>
          <w:p>
            <w:pPr>
              <w:pStyle w:val="7"/>
              <w:keepNext w:val="0"/>
              <w:keepLines w:val="0"/>
              <w:pageBreakBefore w:val="0"/>
              <w:widowControl/>
              <w:numPr>
                <w:ilvl w:val="0"/>
                <w:numId w:val="17"/>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系统具备一个完整的文档和视频的常见问题和使用技巧的知识库，并且该库一直处于持续更新中。客户系统在可以访问改知识库的情况下，可以实现客户系统的文档和视频知识库的实时更新。</w:t>
            </w:r>
          </w:p>
          <w:p>
            <w:pPr>
              <w:pStyle w:val="7"/>
              <w:keepNext w:val="0"/>
              <w:keepLines w:val="0"/>
              <w:pageBreakBefore w:val="0"/>
              <w:widowControl/>
              <w:numPr>
                <w:ilvl w:val="0"/>
                <w:numId w:val="17"/>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提供正版软件资源、免费（PC或移动端）软件资源（包括软件安装包、软件图片、正版软件的安装步骤和介绍配置需求等内容），并且一直处于持续更新中。客户系统在可以访问该软件资源库的情况下，客户系统的软件资源库可以实现一个月一次的更新频率。</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监控预警功能</w:t>
            </w:r>
          </w:p>
          <w:p>
            <w:pPr>
              <w:pStyle w:val="7"/>
              <w:keepNext w:val="0"/>
              <w:keepLines w:val="0"/>
              <w:pageBreakBefore w:val="0"/>
              <w:widowControl/>
              <w:numPr>
                <w:ilvl w:val="0"/>
                <w:numId w:val="18"/>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客户系统内置一套系统监控预警管理系统，可以对包括CPU、内存、磁盘、服务等硬件数据、管理系统的各个服务项进行监控。当这些硬件资源使用道道一定阈值或服客户系统异常的时候，系统会通过客户提供的邮箱、短信等方式实现实时的报警功能。</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数据安全</w:t>
            </w:r>
          </w:p>
          <w:p>
            <w:pPr>
              <w:pStyle w:val="7"/>
              <w:keepNext w:val="0"/>
              <w:keepLines w:val="0"/>
              <w:pageBreakBefore w:val="0"/>
              <w:widowControl/>
              <w:numPr>
                <w:ilvl w:val="0"/>
                <w:numId w:val="19"/>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数据传输</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客户端的激活数据和涉密数据的传输都采用加密传输方式。</w:t>
            </w:r>
          </w:p>
          <w:p>
            <w:pPr>
              <w:pStyle w:val="7"/>
              <w:keepNext w:val="0"/>
              <w:keepLines w:val="0"/>
              <w:pageBreakBefore w:val="0"/>
              <w:widowControl/>
              <w:numPr>
                <w:ilvl w:val="0"/>
                <w:numId w:val="19"/>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数据存储</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系统的涉密数据（例如用户的密码、收取的密钥、订阅账号密码等）都采用了加密存储。</w:t>
            </w:r>
          </w:p>
          <w:p>
            <w:pPr>
              <w:pStyle w:val="7"/>
              <w:keepNext w:val="0"/>
              <w:keepLines w:val="0"/>
              <w:pageBreakBefore w:val="0"/>
              <w:widowControl/>
              <w:numPr>
                <w:ilvl w:val="0"/>
                <w:numId w:val="19"/>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数据备份</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系统采用自动的多服务器全局备份和增量备份的方式进行备份。</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客户端功能</w:t>
            </w:r>
          </w:p>
          <w:p>
            <w:pPr>
              <w:pStyle w:val="7"/>
              <w:keepNext w:val="0"/>
              <w:keepLines w:val="0"/>
              <w:pageBreakBefore w:val="0"/>
              <w:widowControl/>
              <w:numPr>
                <w:ilvl w:val="0"/>
                <w:numId w:val="20"/>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客户端的功能包括：</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正版软件激活功能。</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软件的下载、安装、升级、卸载和下载的软件安装包管理。</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系统自动更新和更新服务器设置功能。</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驱动管理。</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正版软件检测功能。</w:t>
            </w:r>
          </w:p>
          <w:p>
            <w:pPr>
              <w:pStyle w:val="7"/>
              <w:keepNext w:val="0"/>
              <w:keepLines w:val="0"/>
              <w:pageBreakBefore w:val="0"/>
              <w:widowControl/>
              <w:numPr>
                <w:ilvl w:val="0"/>
                <w:numId w:val="20"/>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系统客户端有两种适用场景：</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普通用户办公电脑使用的的普通客户端</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普通客户端，具备一键登录功能，用户可以通过门户直接启动客户端，并执行激活操作。</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机房、实验室等环境的批量客户端。</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客户端安装上了以后，会自动检测可以激活软件，并且执行激活操作。</w:t>
            </w:r>
          </w:p>
          <w:p>
            <w:pPr>
              <w:pStyle w:val="37"/>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为了确保激活数据的安全客户端的数据传输都采用的是加密传输。</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授权资源管理功能</w:t>
            </w:r>
          </w:p>
          <w:p>
            <w:pPr>
              <w:pStyle w:val="7"/>
              <w:keepNext w:val="0"/>
              <w:keepLines w:val="0"/>
              <w:pageBreakBefore w:val="0"/>
              <w:widowControl/>
              <w:numPr>
                <w:ilvl w:val="0"/>
                <w:numId w:val="21"/>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系统可以对密钥激活、服务器激活、内置密钥激活、统一身份认证登录激活、订阅式授权等方式进行管理。</w:t>
            </w:r>
          </w:p>
          <w:p>
            <w:pPr>
              <w:pStyle w:val="7"/>
              <w:keepNext w:val="0"/>
              <w:keepLines w:val="0"/>
              <w:pageBreakBefore w:val="0"/>
              <w:widowControl/>
              <w:numPr>
                <w:ilvl w:val="0"/>
                <w:numId w:val="21"/>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授权模式，客户系统的用户激活次数授权模式与部门的树形结构相匹配，即，上级部门可以对本部门用户下级部门以及下级部门的用户的授权资源数量进行管理；同样的分组授权，需要将授权资源分配给分组以后分组的管理员或顶级管理员才能给分组的用户分配相应的授权资源。</w:t>
            </w:r>
          </w:p>
          <w:p>
            <w:pPr>
              <w:pStyle w:val="7"/>
              <w:keepNext w:val="0"/>
              <w:keepLines w:val="0"/>
              <w:pageBreakBefore w:val="0"/>
              <w:widowControl/>
              <w:numPr>
                <w:ilvl w:val="0"/>
                <w:numId w:val="21"/>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授权资源分配方式包括：</w:t>
            </w:r>
          </w:p>
          <w:p>
            <w:pPr>
              <w:pStyle w:val="37"/>
              <w:keepNext w:val="0"/>
              <w:keepLines w:val="0"/>
              <w:pageBreakBefore w:val="0"/>
              <w:widowControl/>
              <w:numPr>
                <w:ilvl w:val="1"/>
                <w:numId w:val="21"/>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注册自动分配</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用户注册到系统以后，会根据系统参数为注册用户自动分配授权资源。</w:t>
            </w:r>
          </w:p>
          <w:p>
            <w:pPr>
              <w:pStyle w:val="37"/>
              <w:keepNext w:val="0"/>
              <w:keepLines w:val="0"/>
              <w:pageBreakBefore w:val="0"/>
              <w:widowControl/>
              <w:numPr>
                <w:ilvl w:val="1"/>
                <w:numId w:val="21"/>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手动/自动全局恢复</w:t>
            </w:r>
            <w:r>
              <w:rPr>
                <w:rFonts w:hint="eastAsia" w:ascii="仿宋_GB2312" w:hAnsi="仿宋" w:eastAsia="仿宋_GB2312" w:cs="仿宋"/>
                <w:sz w:val="24"/>
                <w:szCs w:val="24"/>
              </w:rPr>
              <w:cr/>
            </w:r>
            <w:r>
              <w:rPr>
                <w:rFonts w:hint="eastAsia" w:ascii="仿宋_GB2312" w:hAnsi="仿宋" w:eastAsia="仿宋_GB2312" w:cs="仿宋"/>
                <w:sz w:val="24"/>
                <w:szCs w:val="24"/>
              </w:rPr>
              <w:t>系统具备一键全局恢复授权资源的功能。恢复后，用户的可用收取资源数量</w:t>
            </w:r>
          </w:p>
          <w:p>
            <w:pPr>
              <w:pStyle w:val="37"/>
              <w:keepNext w:val="0"/>
              <w:keepLines w:val="0"/>
              <w:pageBreakBefore w:val="0"/>
              <w:widowControl/>
              <w:numPr>
                <w:ilvl w:val="1"/>
                <w:numId w:val="21"/>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定时全局自动恢复</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系统具备自动全局恢复功能。可以通过设定自动恢复时间等规则，对用户的授权资源进行全局自动恢复（效果同上）；</w:t>
            </w:r>
          </w:p>
          <w:p>
            <w:pPr>
              <w:pStyle w:val="37"/>
              <w:keepNext w:val="0"/>
              <w:keepLines w:val="0"/>
              <w:pageBreakBefore w:val="0"/>
              <w:widowControl/>
              <w:numPr>
                <w:ilvl w:val="1"/>
                <w:numId w:val="21"/>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管理员后台分配</w:t>
            </w:r>
            <w:r>
              <w:rPr>
                <w:rFonts w:hint="eastAsia" w:ascii="仿宋_GB2312" w:hAnsi="仿宋" w:eastAsia="仿宋_GB2312" w:cs="仿宋"/>
                <w:sz w:val="24"/>
                <w:szCs w:val="24"/>
              </w:rPr>
              <w:cr/>
            </w:r>
            <w:r>
              <w:rPr>
                <w:rFonts w:hint="eastAsia" w:ascii="仿宋_GB2312" w:hAnsi="仿宋" w:eastAsia="仿宋_GB2312" w:cs="仿宋"/>
                <w:sz w:val="24"/>
                <w:szCs w:val="24"/>
              </w:rPr>
              <w:t>管理可以在管理后为单个用户分配授权资源。</w:t>
            </w:r>
          </w:p>
          <w:p>
            <w:pPr>
              <w:pStyle w:val="37"/>
              <w:keepNext w:val="0"/>
              <w:keepLines w:val="0"/>
              <w:pageBreakBefore w:val="0"/>
              <w:widowControl/>
              <w:numPr>
                <w:ilvl w:val="1"/>
                <w:numId w:val="21"/>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申请/审批授权分配</w:t>
            </w:r>
            <w:r>
              <w:rPr>
                <w:rFonts w:hint="eastAsia" w:ascii="仿宋_GB2312" w:hAnsi="仿宋" w:eastAsia="仿宋_GB2312" w:cs="仿宋"/>
                <w:sz w:val="24"/>
                <w:szCs w:val="24"/>
              </w:rPr>
              <w:cr/>
            </w:r>
            <w:r>
              <w:rPr>
                <w:rFonts w:hint="eastAsia" w:ascii="仿宋_GB2312" w:hAnsi="仿宋" w:eastAsia="仿宋_GB2312" w:cs="仿宋"/>
                <w:sz w:val="24"/>
                <w:szCs w:val="24"/>
              </w:rPr>
              <w:t>用户可以通过客户端或系统网址的个人中心申请授权资源。在管理员通过后台审批通过以后，用户可以获取到新的授权资源。</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正版软件检测和台账导出功能</w:t>
            </w:r>
          </w:p>
          <w:p>
            <w:pPr>
              <w:pStyle w:val="7"/>
              <w:keepNext w:val="0"/>
              <w:keepLines w:val="0"/>
              <w:pageBreakBefore w:val="0"/>
              <w:widowControl/>
              <w:numPr>
                <w:ilvl w:val="0"/>
                <w:numId w:val="22"/>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用户在电脑上面安装了客户端以后，客户端会对电脑的正版软件使用情况进行检测并记录。管理员可以通过后台导出部门的正版台账统计表和详细表。或通过个人信息、设备信息查询正版软件检测情况。</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日志管理功能</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系统会对用户的授权分配、激活、登录、操作、软件下载、文章浏览等进行记录。</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授权资源分配记录</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记录分配的用户信息、分配原因、分配数量、分配时间、审核信息等。</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激活记录</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记录激活的软件、用户、设备信息、密钥、时间、IP、激活故障等数据。</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登录日志</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登录时间、IP、登录结果、登录用户等信息。</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管理员操作日志</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包括管理员信息、IP、操作时间、操作内容、数据提交方式等。</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软件下载日志</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下载软件信息、下载用户、IP、下载时间等。</w:t>
            </w:r>
          </w:p>
          <w:p>
            <w:pPr>
              <w:pStyle w:val="37"/>
              <w:keepNext w:val="0"/>
              <w:keepLines w:val="0"/>
              <w:pageBreakBefore w:val="0"/>
              <w:widowControl/>
              <w:numPr>
                <w:ilvl w:val="0"/>
                <w:numId w:val="23"/>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文章/视频浏览日志</w:t>
            </w:r>
          </w:p>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浏览用户、IP、浏览时间、浏览文章/视频信息</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统计图表功能</w:t>
            </w:r>
          </w:p>
          <w:p>
            <w:pPr>
              <w:pStyle w:val="7"/>
              <w:keepNext w:val="0"/>
              <w:keepLines w:val="0"/>
              <w:pageBreakBefore w:val="0"/>
              <w:widowControl/>
              <w:numPr>
                <w:ilvl w:val="0"/>
                <w:numId w:val="24"/>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系统会对用户注册、授权资源分配、授权资源使用、软件下载、正版软件检测等信息以部门/分组、身份类型、时间（年、月、日等）进行多维度的统计。并且支持以Excel的格式对数据进行导出。</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知识产权要求</w:t>
            </w:r>
          </w:p>
          <w:p>
            <w:pPr>
              <w:pStyle w:val="7"/>
              <w:keepNext w:val="0"/>
              <w:keepLines w:val="0"/>
              <w:pageBreakBefore w:val="0"/>
              <w:widowControl/>
              <w:numPr>
                <w:ilvl w:val="0"/>
                <w:numId w:val="25"/>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正版软件资源管理与服务交付平台提供商，保证其归功的服务不得侵犯任何第三方的合法知识产权以及其他权益。必须引导本校合规的使用第三方公司的软件商品，如果是由于知识产权以及第三方公司的软件合规导致的第三方追责，本校概不负责，一切责任由服务平台服务提供商负责。</w:t>
            </w:r>
          </w:p>
          <w:p>
            <w:pPr>
              <w:pStyle w:val="7"/>
              <w:keepNext w:val="0"/>
              <w:keepLines w:val="0"/>
              <w:pageBreakBefore w:val="0"/>
              <w:widowControl/>
              <w:numPr>
                <w:ilvl w:val="0"/>
                <w:numId w:val="0"/>
              </w:numPr>
              <w:tabs>
                <w:tab w:val="left" w:pos="360"/>
              </w:tabs>
              <w:kinsoku/>
              <w:wordWrap/>
              <w:overflowPunct/>
              <w:topLinePunct w:val="0"/>
              <w:autoSpaceDE w:val="0"/>
              <w:autoSpaceDN w:val="0"/>
              <w:bidi w:val="0"/>
              <w:adjustRightInd/>
              <w:snapToGrid/>
              <w:spacing w:after="0" w:line="240" w:lineRule="auto"/>
              <w:ind w:leftChars="0" w:right="0" w:rightChars="0"/>
              <w:textAlignment w:val="auto"/>
              <w:rPr>
                <w:rFonts w:ascii="仿宋_GB2312" w:hAnsi="仿宋" w:eastAsia="仿宋_GB2312" w:cs="仿宋"/>
                <w:b/>
                <w:bCs/>
                <w:sz w:val="24"/>
                <w:szCs w:val="24"/>
                <w:highlight w:val="none"/>
              </w:rPr>
            </w:pPr>
            <w:r>
              <w:rPr>
                <w:rFonts w:hint="eastAsia" w:ascii="仿宋_GB2312" w:hAnsi="仿宋" w:eastAsia="仿宋_GB2312" w:cs="仿宋"/>
                <w:b w:val="0"/>
                <w:bCs w:val="0"/>
                <w:sz w:val="24"/>
                <w:szCs w:val="24"/>
                <w:highlight w:val="none"/>
                <w:lang w:val="en-US" w:eastAsia="zh-CN"/>
              </w:rPr>
              <w:t>2.供应商</w:t>
            </w:r>
            <w:r>
              <w:rPr>
                <w:rFonts w:hint="eastAsia" w:ascii="仿宋_GB2312" w:hAnsi="仿宋" w:eastAsia="仿宋_GB2312" w:cs="仿宋"/>
                <w:b w:val="0"/>
                <w:bCs w:val="0"/>
                <w:sz w:val="24"/>
                <w:szCs w:val="24"/>
                <w:highlight w:val="none"/>
              </w:rPr>
              <w:t>须提供专业软件评测机构出具的软件产品登记测试报告和计算机软件著作权登记证书</w:t>
            </w:r>
            <w:r>
              <w:rPr>
                <w:rFonts w:hint="eastAsia" w:ascii="仿宋_GB2312" w:hAnsi="仿宋" w:eastAsia="仿宋_GB2312" w:cs="仿宋"/>
                <w:b/>
                <w:bCs/>
                <w:sz w:val="24"/>
                <w:szCs w:val="24"/>
                <w:highlight w:val="none"/>
                <w:lang w:eastAsia="zh-CN"/>
              </w:rPr>
              <w:t>（</w:t>
            </w:r>
            <w:r>
              <w:rPr>
                <w:rFonts w:hint="eastAsia" w:ascii="仿宋_GB2312" w:hAnsi="仿宋" w:eastAsia="仿宋_GB2312" w:cs="仿宋"/>
                <w:b/>
                <w:bCs/>
                <w:sz w:val="24"/>
                <w:szCs w:val="24"/>
                <w:highlight w:val="none"/>
                <w:lang w:val="en-US" w:eastAsia="zh-CN"/>
              </w:rPr>
              <w:t>复印件</w:t>
            </w:r>
            <w:r>
              <w:rPr>
                <w:rFonts w:hint="eastAsia" w:ascii="仿宋_GB2312" w:hAnsi="仿宋" w:eastAsia="仿宋_GB2312" w:cs="仿宋"/>
                <w:b/>
                <w:bCs/>
                <w:sz w:val="24"/>
                <w:szCs w:val="24"/>
                <w:highlight w:val="none"/>
              </w:rPr>
              <w:t>加盖</w:t>
            </w:r>
            <w:r>
              <w:rPr>
                <w:rFonts w:hint="eastAsia" w:ascii="仿宋_GB2312" w:hAnsi="仿宋" w:eastAsia="仿宋_GB2312" w:cs="仿宋"/>
                <w:b/>
                <w:bCs/>
                <w:sz w:val="24"/>
                <w:szCs w:val="24"/>
                <w:highlight w:val="none"/>
                <w:lang w:val="en-US" w:eastAsia="zh-CN"/>
              </w:rPr>
              <w:t>原厂商</w:t>
            </w:r>
            <w:r>
              <w:rPr>
                <w:rFonts w:hint="eastAsia" w:ascii="仿宋_GB2312" w:hAnsi="仿宋" w:eastAsia="仿宋_GB2312" w:cs="仿宋"/>
                <w:b/>
                <w:bCs/>
                <w:sz w:val="24"/>
                <w:szCs w:val="24"/>
                <w:highlight w:val="none"/>
              </w:rPr>
              <w:t>公章</w:t>
            </w:r>
            <w:r>
              <w:rPr>
                <w:rFonts w:hint="eastAsia" w:ascii="仿宋_GB2312" w:hAnsi="仿宋" w:eastAsia="仿宋_GB2312" w:cs="仿宋"/>
                <w:b/>
                <w:bCs/>
                <w:sz w:val="24"/>
                <w:szCs w:val="24"/>
                <w:highlight w:val="none"/>
                <w:lang w:val="en-US" w:eastAsia="zh-CN"/>
              </w:rPr>
              <w:t>并将扫描件附在响应文件中</w:t>
            </w:r>
            <w:r>
              <w:rPr>
                <w:rFonts w:hint="eastAsia" w:ascii="仿宋_GB2312" w:hAnsi="仿宋" w:eastAsia="仿宋_GB2312" w:cs="仿宋"/>
                <w:b/>
                <w:bCs/>
                <w:sz w:val="24"/>
                <w:szCs w:val="24"/>
                <w:highlight w:val="none"/>
                <w:lang w:eastAsia="zh-CN"/>
              </w:rPr>
              <w:t>）</w:t>
            </w:r>
            <w:r>
              <w:rPr>
                <w:rFonts w:hint="eastAsia" w:ascii="仿宋_GB2312" w:hAnsi="仿宋" w:eastAsia="仿宋_GB2312" w:cs="仿宋"/>
                <w:b/>
                <w:bCs/>
                <w:sz w:val="24"/>
                <w:szCs w:val="24"/>
                <w:highlight w:val="none"/>
              </w:rPr>
              <w:t>。</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平台系统支持及服务响应标准</w:t>
            </w:r>
          </w:p>
          <w:p>
            <w:pPr>
              <w:pStyle w:val="37"/>
              <w:keepNext w:val="0"/>
              <w:keepLines w:val="0"/>
              <w:pageBreakBefore w:val="0"/>
              <w:widowControl/>
              <w:numPr>
                <w:ilvl w:val="0"/>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针对校内用户在使用软件管理与服务平台提供的各项功能中遇到的各种问题提供全面的技术支持服务，要求达到：</w:t>
            </w:r>
          </w:p>
          <w:p>
            <w:pPr>
              <w:pStyle w:val="37"/>
              <w:keepNext w:val="0"/>
              <w:keepLines w:val="0"/>
              <w:pageBreakBefore w:val="0"/>
              <w:widowControl/>
              <w:numPr>
                <w:ilvl w:val="0"/>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向校内用户提供软件管理与服务平台咨询使用提供5x8的技术支持服务；</w:t>
            </w:r>
          </w:p>
          <w:p>
            <w:pPr>
              <w:pStyle w:val="37"/>
              <w:keepNext w:val="0"/>
              <w:keepLines w:val="0"/>
              <w:pageBreakBefore w:val="0"/>
              <w:widowControl/>
              <w:numPr>
                <w:ilvl w:val="0"/>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提供技术专线服务，以电话、即时通讯、电子邮件的方式为校内用户提供技术支持服务；</w:t>
            </w:r>
          </w:p>
          <w:p>
            <w:pPr>
              <w:pStyle w:val="37"/>
              <w:keepNext w:val="0"/>
              <w:keepLines w:val="0"/>
              <w:pageBreakBefore w:val="0"/>
              <w:widowControl/>
              <w:numPr>
                <w:ilvl w:val="0"/>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服务需要做到即时响应，问题解决时间不得超过24小时。</w:t>
            </w:r>
          </w:p>
          <w:p>
            <w:pPr>
              <w:pStyle w:val="6"/>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培训要求</w:t>
            </w:r>
          </w:p>
          <w:p>
            <w:pPr>
              <w:pStyle w:val="7"/>
              <w:keepNext w:val="0"/>
              <w:keepLines w:val="0"/>
              <w:pageBreakBefore w:val="0"/>
              <w:widowControl/>
              <w:numPr>
                <w:ilvl w:val="0"/>
                <w:numId w:val="27"/>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平台服务提供商，提供每年不少于2次的培训服务，培训内容应当包括最新操作系统，办公软件、服务平台用户的使用、服务平台管理员、服务平台系统维护工作人员的培训，并制定培训计划和方案文档以及培训的其他相关文档。</w:t>
            </w:r>
          </w:p>
          <w:tbl>
            <w:tblPr>
              <w:tblStyle w:val="2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560"/>
              <w:gridCol w:w="1417"/>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课程名称</w:t>
                  </w:r>
                </w:p>
              </w:tc>
              <w:tc>
                <w:tcPr>
                  <w:tcW w:w="1560"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提供的资料</w:t>
                  </w:r>
                </w:p>
              </w:tc>
              <w:tc>
                <w:tcPr>
                  <w:tcW w:w="1417"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培训时长</w:t>
                  </w:r>
                </w:p>
              </w:tc>
              <w:tc>
                <w:tcPr>
                  <w:tcW w:w="1194"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服务平台管理培训（管理员）</w:t>
                  </w:r>
                </w:p>
              </w:tc>
              <w:tc>
                <w:tcPr>
                  <w:tcW w:w="1560"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≥2小时/次</w:t>
                  </w:r>
                </w:p>
              </w:tc>
              <w:tc>
                <w:tcPr>
                  <w:tcW w:w="1194"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服务平台用户使用培训（用户）</w:t>
                  </w:r>
                </w:p>
              </w:tc>
              <w:tc>
                <w:tcPr>
                  <w:tcW w:w="1560"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≥1小时/次</w:t>
                  </w:r>
                </w:p>
              </w:tc>
              <w:tc>
                <w:tcPr>
                  <w:tcW w:w="1194"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软件产品使用技巧培训（用户）</w:t>
                  </w:r>
                </w:p>
              </w:tc>
              <w:tc>
                <w:tcPr>
                  <w:tcW w:w="1560"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≥1小时/次</w:t>
                  </w:r>
                </w:p>
              </w:tc>
              <w:tc>
                <w:tcPr>
                  <w:tcW w:w="1194"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06"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服务平台系统维护人培训（运维人员）</w:t>
                  </w:r>
                </w:p>
              </w:tc>
              <w:tc>
                <w:tcPr>
                  <w:tcW w:w="1560"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≥2小时/次</w:t>
                  </w:r>
                </w:p>
              </w:tc>
              <w:tc>
                <w:tcPr>
                  <w:tcW w:w="1194" w:type="dxa"/>
                </w:tcPr>
                <w:p>
                  <w:pPr>
                    <w:pStyle w:val="37"/>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bl>
          <w:p>
            <w:pPr>
              <w:pStyle w:val="7"/>
              <w:keepNext w:val="0"/>
              <w:keepLines w:val="0"/>
              <w:pageBreakBefore w:val="0"/>
              <w:widowControl/>
              <w:numPr>
                <w:ilvl w:val="0"/>
                <w:numId w:val="27"/>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培训提供相关文档：</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培训方案</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服务平台使用手册</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服务平台管理后台使用手册</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批量激活客户端使用手册</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服务平台使用注意事项及常见问题处理方案</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服务平台部署实施技术方案</w:t>
            </w:r>
          </w:p>
          <w:p>
            <w:pPr>
              <w:pStyle w:val="37"/>
              <w:keepNext w:val="0"/>
              <w:keepLines w:val="0"/>
              <w:pageBreakBefore w:val="0"/>
              <w:widowControl/>
              <w:numPr>
                <w:ilvl w:val="1"/>
                <w:numId w:val="27"/>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服务平台部署实施手册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1.系统架构和部署：系统采用单域名架构，支持IP直接访问。</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2.用户的组织架构：用户部门除了支持完全的属性组织架构外，还支持扁平灵活的分组组织结架构。用户必须隶属于一个部门，可以同时属于0个或多个分组。</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3.文章、视频、软件等资源的管理和升级功能：</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3.1系统具备一个完整的文档和视频的常见问题和使用技巧的知识库，并且该库一直处于持续更新中。客户系统在可以访问改知识库的情况下，可以实现客户系统的文档和视频知识库的实时更新。</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3.2系统提供正版软件资源、免费（PC或移动端）软件资源（包括软件安装包、软件图片、正版软件的安装步骤和介绍配置需求等内容），并且一直处于持续更新中。客户系统在可以访问该软件资源库的情况下，客户系统的软件资源库可以实现一个月一次的更新频率。</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4.客户端功能：至少包括正版软件激活功能、系统自动更新和更新服务器设置功能、正版软件检测功能</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5.授权资源管理功能：系统可以对密钥激活、服务器激活、内置密钥激活、统一身份认证登录激活、订阅式授权等方式进行管理。</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6.日志管理功能：至少包括授权资源分配记录、激活记录、软件下载日志等功能</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7.统计图表功能：系统会对用户注册、授权资源分配、授权资源使用、软件下载、正版软件检测等信息以部门/分组、身份类型、时间（年、月、日等）进行多维度的统计。并且支持以Excel的格式对数据进行导出。</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8.平台具有兼容国产、信创产品功能：比如国产办公软件（永中 office、福昕 PDF、友虹 OFD等）软件下载试用功能模块，并根据学校需求定制化。</w:t>
            </w:r>
            <w:r>
              <w:rPr>
                <w:rFonts w:ascii="仿宋_GB2312" w:hAnsi="仿宋" w:eastAsia="仿宋_GB2312" w:cs="仿宋"/>
                <w:b/>
                <w:bCs/>
                <w:sz w:val="24"/>
                <w:szCs w:val="24"/>
              </w:rPr>
              <w:t>（截图证明</w:t>
            </w:r>
            <w:r>
              <w:rPr>
                <w:rFonts w:hint="eastAsia" w:ascii="仿宋_GB2312" w:hAnsi="仿宋" w:eastAsia="仿宋_GB2312" w:cs="仿宋"/>
                <w:b/>
                <w:bCs/>
                <w:sz w:val="24"/>
                <w:szCs w:val="24"/>
                <w:lang w:val="en-US" w:eastAsia="zh-CN"/>
              </w:rPr>
              <w:t>附在响应文件中</w:t>
            </w:r>
            <w:r>
              <w:rPr>
                <w:rFonts w:ascii="仿宋_GB2312" w:hAnsi="仿宋" w:eastAsia="仿宋_GB2312" w:cs="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集成服务要求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red"/>
              </w:rPr>
            </w:pPr>
            <w:r>
              <w:rPr>
                <w:rFonts w:ascii="仿宋_GB2312" w:hAnsi="仿宋" w:eastAsia="仿宋_GB2312" w:cs="仿宋"/>
                <w:sz w:val="24"/>
                <w:szCs w:val="24"/>
              </w:rPr>
              <w:t>1.</w:t>
            </w:r>
            <w:r>
              <w:rPr>
                <w:rFonts w:ascii="仿宋_GB2312" w:hAnsi="仿宋" w:eastAsia="仿宋_GB2312" w:cs="仿宋"/>
                <w:sz w:val="24"/>
                <w:szCs w:val="24"/>
              </w:rPr>
              <w:tab/>
            </w:r>
            <w:r>
              <w:rPr>
                <w:rFonts w:ascii="仿宋_GB2312" w:hAnsi="仿宋" w:eastAsia="仿宋_GB2312" w:cs="仿宋"/>
                <w:sz w:val="24"/>
                <w:szCs w:val="24"/>
              </w:rPr>
              <w:t>要求依照采购人统一身份认证平台的接口规范，实现单点登陆升级，并集成到统一身份认证系统中或根据学校相关集成要求，实现其它方式集成；</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2</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平台具有兼容国产、信创产品功能：比如国产操作系统（统信UOS、麒麟等）、国产办公软件（永中 office、金山 wps、福昕 PDF、友虹 OFD等）软件下载试用功能模块，并根据学校需求定制化。</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3</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软件管理：可通过该模块对校内提供的各项软件服务进行管理和维护，通过上传和发布功能在软件库中更新和维护软件的信息。</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4</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要求平台可集成其他正版工具类软件的功能。如在服务期期内免费提供其它正版工具类软件使用，可提供详细方案。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售后服务要求</w:t>
            </w:r>
          </w:p>
        </w:tc>
        <w:tc>
          <w:tcPr>
            <w:tcW w:w="7245" w:type="dxa"/>
            <w:vAlign w:val="center"/>
          </w:tcPr>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包括定期巡检、平台升级、数据导入、更新服务、技术支持，培训技术管理人员正确使用管理平台；</w:t>
            </w:r>
          </w:p>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售后服务：提供客户服务支持</w:t>
            </w:r>
          </w:p>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技术支持网站：对本单位使用用户提供专业技术交流和技术支持网站</w:t>
            </w:r>
          </w:p>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使用培训：使用技巧培训，管理平台使用培训；培训3名以上网络管理人员，对系统进行操作培训</w:t>
            </w:r>
          </w:p>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技术支持：提供在线技术支持服务及服务电话和服务邮箱</w:t>
            </w:r>
          </w:p>
          <w:p>
            <w:pPr>
              <w:pStyle w:val="37"/>
              <w:keepNext w:val="0"/>
              <w:keepLines w:val="0"/>
              <w:pageBreakBefore w:val="0"/>
              <w:widowControl w:val="0"/>
              <w:numPr>
                <w:ilvl w:val="0"/>
                <w:numId w:val="28"/>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售后服务：所有服务均按照招标文件中的规格型号提供，如有不符合合同要求的，客户有权提出更改；为方便对客户进行追踪服务，公司对所有用户建立详细档案（包括产品激活时间、版本、次数）；软件，硬件安装调试，派出专业人员对客户人员进行培训，使操作人员熟悉产品性能和使用方法，同时能对一般故障做到预防和处理；(5*8小时/周)电话热线和网络咨询服务软件在质保时间内出现新版本应免费升级</w:t>
            </w:r>
          </w:p>
        </w:tc>
      </w:tr>
      <w:bookmarkEnd w:id="136"/>
    </w:tbl>
    <w:p>
      <w:pPr>
        <w:pStyle w:val="29"/>
        <w:rPr>
          <w:rFonts w:hint="eastAsia" w:ascii="宋体" w:hAnsi="宋体" w:eastAsia="宋体" w:cs="宋体"/>
        </w:rPr>
      </w:pPr>
    </w:p>
    <w:p>
      <w:pPr>
        <w:widowControl/>
        <w:jc w:val="left"/>
        <w:rPr>
          <w:rFonts w:hint="eastAsia" w:ascii="宋体" w:hAnsi="宋体" w:eastAsia="宋体" w:cs="宋体"/>
          <w:sz w:val="36"/>
          <w:szCs w:val="36"/>
        </w:rPr>
      </w:pPr>
      <w:r>
        <w:rPr>
          <w:rFonts w:hint="eastAsia" w:ascii="宋体" w:hAnsi="宋体" w:eastAsia="宋体" w:cs="宋体"/>
          <w:sz w:val="36"/>
          <w:szCs w:val="36"/>
        </w:rPr>
        <w:br w:type="page"/>
      </w:r>
      <w:bookmarkStart w:id="138" w:name="_Toc26539"/>
    </w:p>
    <w:p>
      <w:pPr>
        <w:pStyle w:val="6"/>
        <w:spacing w:line="500" w:lineRule="exact"/>
        <w:rPr>
          <w:rFonts w:hint="eastAsia" w:ascii="宋体" w:hAnsi="宋体" w:eastAsia="宋体" w:cs="宋体"/>
          <w:sz w:val="36"/>
          <w:szCs w:val="36"/>
        </w:rPr>
      </w:pPr>
    </w:p>
    <w:p>
      <w:pPr>
        <w:pStyle w:val="6"/>
        <w:spacing w:line="500" w:lineRule="exact"/>
        <w:rPr>
          <w:rFonts w:hint="eastAsia" w:ascii="宋体" w:hAnsi="宋体" w:eastAsia="宋体" w:cs="宋体"/>
          <w:sz w:val="36"/>
          <w:szCs w:val="36"/>
        </w:rPr>
      </w:pPr>
      <w:r>
        <w:rPr>
          <w:rFonts w:hint="eastAsia" w:ascii="宋体" w:hAnsi="宋体" w:eastAsia="宋体" w:cs="宋体"/>
          <w:sz w:val="36"/>
          <w:szCs w:val="36"/>
        </w:rPr>
        <w:t>第六章 响应文件格式</w:t>
      </w:r>
      <w:bookmarkEnd w:id="127"/>
      <w:bookmarkEnd w:id="128"/>
      <w:bookmarkEnd w:id="130"/>
      <w:bookmarkEnd w:id="131"/>
      <w:bookmarkEnd w:id="132"/>
      <w:bookmarkEnd w:id="133"/>
      <w:bookmarkEnd w:id="138"/>
    </w:p>
    <w:p>
      <w:pPr>
        <w:spacing w:line="500" w:lineRule="exact"/>
        <w:jc w:val="center"/>
        <w:rPr>
          <w:rFonts w:hint="eastAsia" w:ascii="宋体" w:hAnsi="宋体" w:eastAsia="宋体" w:cs="宋体"/>
          <w:sz w:val="44"/>
          <w:szCs w:val="44"/>
          <w:u w:val="single"/>
        </w:rPr>
      </w:pPr>
    </w:p>
    <w:p>
      <w:pPr>
        <w:spacing w:line="500" w:lineRule="exact"/>
        <w:jc w:val="center"/>
        <w:rPr>
          <w:rFonts w:hint="eastAsia" w:ascii="宋体" w:hAnsi="宋体" w:eastAsia="宋体" w:cs="宋体"/>
          <w:sz w:val="44"/>
          <w:szCs w:val="44"/>
          <w:u w:val="single"/>
        </w:rPr>
      </w:pP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 xml:space="preserve">（项目名称）  </w:t>
      </w:r>
    </w:p>
    <w:p>
      <w:pPr>
        <w:spacing w:line="500" w:lineRule="exact"/>
        <w:ind w:firstLine="2169" w:firstLineChars="900"/>
        <w:rPr>
          <w:rFonts w:hint="eastAsia" w:ascii="宋体" w:hAnsi="宋体" w:eastAsia="宋体" w:cs="宋体"/>
        </w:rPr>
      </w:pPr>
    </w:p>
    <w:p>
      <w:pPr>
        <w:pStyle w:val="2"/>
        <w:ind w:firstLine="738"/>
        <w:rPr>
          <w:rFonts w:hint="eastAsia" w:ascii="宋体" w:hAnsi="宋体" w:eastAsia="宋体" w:cs="宋体"/>
        </w:rPr>
      </w:pPr>
    </w:p>
    <w:p>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响应文件</w:t>
      </w:r>
    </w:p>
    <w:p>
      <w:pPr>
        <w:pStyle w:val="5"/>
        <w:rPr>
          <w:rFonts w:hint="eastAsia" w:ascii="宋体" w:hAnsi="宋体" w:eastAsia="宋体" w:cs="宋体"/>
          <w:sz w:val="44"/>
          <w:szCs w:val="44"/>
        </w:rPr>
      </w:pPr>
    </w:p>
    <w:p>
      <w:pPr>
        <w:rPr>
          <w:rFonts w:hint="eastAsia" w:ascii="宋体" w:hAnsi="宋体" w:eastAsia="宋体" w:cs="宋体"/>
        </w:rPr>
      </w:pPr>
    </w:p>
    <w:p>
      <w:pPr>
        <w:spacing w:line="360" w:lineRule="auto"/>
        <w:ind w:firstLine="3189" w:firstLineChars="994"/>
        <w:outlineLvl w:val="0"/>
        <w:rPr>
          <w:rFonts w:hint="eastAsia" w:ascii="宋体" w:hAnsi="宋体" w:eastAsia="宋体" w:cs="宋体"/>
          <w:sz w:val="32"/>
          <w:szCs w:val="32"/>
        </w:rPr>
      </w:pPr>
      <w:bookmarkStart w:id="139" w:name="_Toc17979_WPSOffice_Level1"/>
      <w:bookmarkStart w:id="140" w:name="_Toc8167_WPSOffice_Level1"/>
      <w:bookmarkStart w:id="141" w:name="_Toc28873_WPSOffice_Level1"/>
      <w:bookmarkStart w:id="142" w:name="_Toc19797"/>
      <w:bookmarkStart w:id="143" w:name="_Toc7083"/>
      <w:bookmarkStart w:id="144" w:name="_Toc27853_WPSOffice_Level1"/>
      <w:bookmarkStart w:id="145" w:name="_Toc30847"/>
      <w:bookmarkStart w:id="146" w:name="_Toc4049_WPSOffice_Level1"/>
      <w:bookmarkStart w:id="147" w:name="_Toc9485_WPSOffice_Level1"/>
      <w:bookmarkStart w:id="148" w:name="_Toc12112_WPSOffice_Level1"/>
      <w:bookmarkStart w:id="149" w:name="_Toc29141"/>
      <w:r>
        <w:rPr>
          <w:rFonts w:hint="eastAsia" w:ascii="宋体" w:hAnsi="宋体" w:eastAsia="宋体" w:cs="宋体"/>
          <w:sz w:val="32"/>
          <w:szCs w:val="32"/>
        </w:rPr>
        <w:t>项目编号：</w:t>
      </w:r>
      <w:bookmarkEnd w:id="139"/>
      <w:bookmarkEnd w:id="140"/>
      <w:bookmarkEnd w:id="141"/>
      <w:bookmarkEnd w:id="142"/>
      <w:bookmarkEnd w:id="143"/>
      <w:bookmarkEnd w:id="144"/>
      <w:bookmarkEnd w:id="145"/>
      <w:bookmarkEnd w:id="146"/>
      <w:bookmarkEnd w:id="147"/>
      <w:bookmarkEnd w:id="148"/>
      <w:bookmarkEnd w:id="149"/>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ind w:left="1236" w:leftChars="513"/>
        <w:rPr>
          <w:rFonts w:hint="eastAsia" w:ascii="宋体" w:hAnsi="宋体" w:eastAsia="宋体" w:cs="宋体"/>
          <w:sz w:val="24"/>
        </w:rPr>
      </w:pPr>
      <w:r>
        <w:rPr>
          <w:rFonts w:hint="eastAsia" w:ascii="宋体" w:hAnsi="宋体" w:eastAsia="宋体" w:cs="宋体"/>
          <w:sz w:val="24"/>
        </w:rPr>
        <w:t>供应商：（盖单位章）</w:t>
      </w:r>
    </w:p>
    <w:p>
      <w:pPr>
        <w:spacing w:line="500" w:lineRule="exact"/>
        <w:ind w:left="1236" w:leftChars="513"/>
        <w:rPr>
          <w:rFonts w:hint="eastAsia" w:ascii="宋体" w:hAnsi="宋体" w:eastAsia="宋体" w:cs="宋体"/>
          <w:sz w:val="24"/>
        </w:rPr>
      </w:pPr>
      <w:r>
        <w:rPr>
          <w:rFonts w:hint="eastAsia" w:ascii="宋体" w:hAnsi="宋体" w:eastAsia="宋体" w:cs="宋体"/>
          <w:sz w:val="24"/>
        </w:rPr>
        <w:t>供应商法定代表人或其委托代理人：（签字或盖章）</w:t>
      </w:r>
    </w:p>
    <w:p>
      <w:pPr>
        <w:spacing w:line="500" w:lineRule="exact"/>
        <w:ind w:left="1236" w:leftChars="513"/>
        <w:rPr>
          <w:rFonts w:hint="eastAsia" w:ascii="宋体" w:hAnsi="宋体" w:eastAsia="宋体" w:cs="宋体"/>
          <w:sz w:val="24"/>
        </w:rPr>
      </w:pPr>
      <w:r>
        <w:rPr>
          <w:rFonts w:hint="eastAsia" w:ascii="宋体" w:hAnsi="宋体" w:eastAsia="宋体" w:cs="宋体"/>
          <w:sz w:val="24"/>
        </w:rPr>
        <w:t>年 月 日</w:t>
      </w:r>
    </w:p>
    <w:p>
      <w:pPr>
        <w:spacing w:line="500" w:lineRule="exact"/>
        <w:ind w:left="1236" w:leftChars="513"/>
        <w:rPr>
          <w:rFonts w:hint="eastAsia" w:ascii="宋体" w:hAnsi="宋体" w:eastAsia="宋体" w:cs="宋体"/>
          <w:sz w:val="24"/>
        </w:rPr>
      </w:pPr>
    </w:p>
    <w:p>
      <w:pPr>
        <w:spacing w:line="500" w:lineRule="exact"/>
        <w:jc w:val="center"/>
        <w:rPr>
          <w:rFonts w:hint="eastAsia" w:ascii="宋体" w:hAnsi="宋体" w:eastAsia="宋体" w:cs="宋体"/>
          <w:sz w:val="24"/>
        </w:rPr>
      </w:pPr>
    </w:p>
    <w:p>
      <w:pPr>
        <w:spacing w:line="500" w:lineRule="exact"/>
        <w:jc w:val="center"/>
        <w:rPr>
          <w:rFonts w:hint="eastAsia" w:ascii="宋体" w:hAnsi="宋体" w:eastAsia="宋体" w:cs="宋体"/>
          <w:sz w:val="24"/>
        </w:rPr>
      </w:pPr>
      <w:r>
        <w:rPr>
          <w:rFonts w:hint="eastAsia" w:ascii="宋体" w:hAnsi="宋体" w:eastAsia="宋体" w:cs="宋体"/>
          <w:sz w:val="24"/>
        </w:rPr>
        <w:br w:type="page"/>
      </w:r>
    </w:p>
    <w:p>
      <w:pPr>
        <w:spacing w:line="500" w:lineRule="exact"/>
        <w:jc w:val="center"/>
        <w:rPr>
          <w:rFonts w:hint="eastAsia" w:ascii="宋体" w:hAnsi="宋体" w:eastAsia="宋体" w:cs="宋体"/>
          <w:sz w:val="24"/>
        </w:rPr>
      </w:pPr>
    </w:p>
    <w:p>
      <w:pPr>
        <w:spacing w:line="500" w:lineRule="exact"/>
        <w:jc w:val="center"/>
        <w:rPr>
          <w:rFonts w:hint="eastAsia" w:ascii="宋体" w:hAnsi="宋体" w:eastAsia="宋体" w:cs="宋体"/>
          <w:b/>
          <w:sz w:val="36"/>
          <w:szCs w:val="36"/>
        </w:rPr>
      </w:pPr>
    </w:p>
    <w:p>
      <w:pPr>
        <w:spacing w:line="500" w:lineRule="exact"/>
        <w:jc w:val="center"/>
        <w:outlineLvl w:val="0"/>
        <w:rPr>
          <w:rFonts w:hint="eastAsia" w:ascii="宋体" w:hAnsi="宋体" w:eastAsia="宋体" w:cs="宋体"/>
          <w:b/>
          <w:sz w:val="36"/>
          <w:szCs w:val="36"/>
        </w:rPr>
      </w:pPr>
      <w:bookmarkStart w:id="150" w:name="_Toc23412_WPSOffice_Level1"/>
      <w:bookmarkStart w:id="151" w:name="_Toc2392_WPSOffice_Level1"/>
      <w:bookmarkStart w:id="152" w:name="_Toc29720"/>
      <w:bookmarkStart w:id="153" w:name="_Toc23039"/>
      <w:bookmarkStart w:id="154" w:name="_Toc26678"/>
      <w:bookmarkStart w:id="155" w:name="_Toc4156_WPSOffice_Level1"/>
      <w:bookmarkStart w:id="156" w:name="_Toc17664"/>
      <w:r>
        <w:rPr>
          <w:rFonts w:hint="eastAsia" w:ascii="宋体" w:hAnsi="宋体" w:eastAsia="宋体" w:cs="宋体"/>
          <w:b/>
          <w:sz w:val="36"/>
          <w:szCs w:val="36"/>
        </w:rPr>
        <w:t>目     录</w:t>
      </w:r>
      <w:bookmarkEnd w:id="150"/>
      <w:bookmarkEnd w:id="151"/>
      <w:bookmarkEnd w:id="152"/>
      <w:bookmarkEnd w:id="153"/>
      <w:bookmarkEnd w:id="154"/>
      <w:bookmarkEnd w:id="155"/>
      <w:bookmarkEnd w:id="156"/>
    </w:p>
    <w:p>
      <w:pPr>
        <w:spacing w:line="470" w:lineRule="exact"/>
        <w:ind w:firstLine="482" w:firstLineChars="200"/>
        <w:outlineLvl w:val="0"/>
        <w:rPr>
          <w:rFonts w:hint="eastAsia" w:ascii="宋体" w:hAnsi="宋体" w:eastAsia="宋体" w:cs="宋体"/>
          <w:sz w:val="24"/>
        </w:rPr>
      </w:pPr>
      <w:bookmarkStart w:id="157" w:name="_Toc15299"/>
      <w:bookmarkStart w:id="158" w:name="_Toc28446"/>
      <w:bookmarkStart w:id="159" w:name="_Toc28481"/>
      <w:bookmarkStart w:id="160" w:name="_Toc2645"/>
      <w:r>
        <w:rPr>
          <w:rFonts w:hint="eastAsia" w:ascii="宋体" w:hAnsi="宋体" w:eastAsia="宋体" w:cs="宋体"/>
          <w:sz w:val="24"/>
        </w:rPr>
        <w:fldChar w:fldCharType="begin"/>
      </w:r>
      <w:r>
        <w:rPr>
          <w:rFonts w:hint="eastAsia" w:ascii="宋体" w:hAnsi="宋体" w:eastAsia="宋体" w:cs="宋体"/>
          <w:sz w:val="24"/>
        </w:rPr>
        <w:instrText xml:space="preserve"> HYPERLINK \l "_Toc367286147"</w:instrText>
      </w:r>
      <w:r>
        <w:rPr>
          <w:rFonts w:hint="eastAsia" w:ascii="宋体" w:hAnsi="宋体" w:eastAsia="宋体" w:cs="宋体"/>
          <w:sz w:val="24"/>
        </w:rPr>
        <w:fldChar w:fldCharType="separate"/>
      </w:r>
      <w:r>
        <w:rPr>
          <w:rFonts w:hint="eastAsia" w:ascii="宋体" w:hAnsi="宋体" w:eastAsia="宋体" w:cs="宋体"/>
          <w:sz w:val="24"/>
        </w:rPr>
        <w:t>一、报价函</w:t>
      </w:r>
      <w:r>
        <w:rPr>
          <w:rFonts w:hint="eastAsia" w:ascii="宋体" w:hAnsi="宋体" w:eastAsia="宋体" w:cs="宋体"/>
          <w:sz w:val="24"/>
        </w:rPr>
        <w:fldChar w:fldCharType="end"/>
      </w:r>
      <w:bookmarkEnd w:id="157"/>
      <w:bookmarkEnd w:id="158"/>
      <w:bookmarkEnd w:id="159"/>
      <w:bookmarkEnd w:id="160"/>
    </w:p>
    <w:p>
      <w:pPr>
        <w:spacing w:line="470" w:lineRule="exact"/>
        <w:ind w:firstLine="482" w:firstLineChars="200"/>
        <w:outlineLvl w:val="0"/>
        <w:rPr>
          <w:rFonts w:hint="eastAsia" w:ascii="宋体" w:hAnsi="宋体" w:eastAsia="宋体" w:cs="宋体"/>
          <w:sz w:val="24"/>
        </w:rPr>
      </w:pPr>
      <w:bookmarkStart w:id="161" w:name="_Toc6233"/>
      <w:bookmarkStart w:id="162" w:name="_Toc19777"/>
      <w:bookmarkStart w:id="163" w:name="_Toc5964"/>
      <w:bookmarkStart w:id="164" w:name="_Toc2332"/>
      <w:r>
        <w:rPr>
          <w:rFonts w:hint="eastAsia" w:ascii="宋体" w:hAnsi="宋体" w:eastAsia="宋体" w:cs="宋体"/>
          <w:sz w:val="24"/>
        </w:rPr>
        <w:t>二、报价一览表</w:t>
      </w:r>
      <w:bookmarkEnd w:id="161"/>
      <w:bookmarkEnd w:id="162"/>
      <w:bookmarkEnd w:id="163"/>
      <w:bookmarkEnd w:id="164"/>
    </w:p>
    <w:p>
      <w:pPr>
        <w:spacing w:line="470" w:lineRule="exact"/>
        <w:ind w:firstLine="482" w:firstLineChars="200"/>
        <w:outlineLvl w:val="0"/>
        <w:rPr>
          <w:rFonts w:hint="eastAsia" w:ascii="宋体" w:hAnsi="宋体" w:eastAsia="宋体" w:cs="宋体"/>
          <w:sz w:val="24"/>
        </w:rPr>
      </w:pPr>
      <w:bookmarkStart w:id="165" w:name="_Toc23034"/>
      <w:bookmarkStart w:id="166" w:name="_Toc9161"/>
      <w:bookmarkStart w:id="167" w:name="_Toc14006"/>
      <w:bookmarkStart w:id="168" w:name="_Toc21781"/>
      <w:r>
        <w:rPr>
          <w:rFonts w:hint="eastAsia" w:ascii="宋体" w:hAnsi="宋体" w:eastAsia="宋体" w:cs="宋体"/>
          <w:sz w:val="24"/>
        </w:rPr>
        <w:t>三、法定代表人及委托人身份证明</w:t>
      </w:r>
      <w:bookmarkEnd w:id="165"/>
      <w:bookmarkEnd w:id="166"/>
      <w:bookmarkEnd w:id="167"/>
      <w:bookmarkEnd w:id="168"/>
    </w:p>
    <w:p>
      <w:pPr>
        <w:spacing w:line="470" w:lineRule="exact"/>
        <w:ind w:firstLine="482" w:firstLineChars="200"/>
        <w:outlineLvl w:val="0"/>
        <w:rPr>
          <w:rFonts w:hint="eastAsia" w:ascii="宋体" w:hAnsi="宋体" w:eastAsia="宋体" w:cs="宋体"/>
          <w:sz w:val="24"/>
          <w:lang w:val="en-US" w:eastAsia="zh-CN"/>
        </w:rPr>
      </w:pPr>
      <w:bookmarkStart w:id="169" w:name="_Toc2751"/>
      <w:bookmarkStart w:id="170" w:name="_Toc643"/>
      <w:bookmarkStart w:id="171" w:name="_Toc24334"/>
      <w:bookmarkStart w:id="172" w:name="_Toc3671"/>
      <w:r>
        <w:rPr>
          <w:rFonts w:hint="eastAsia" w:ascii="宋体" w:hAnsi="宋体" w:eastAsia="宋体" w:cs="宋体"/>
          <w:sz w:val="24"/>
        </w:rPr>
        <w:t>四、</w:t>
      </w:r>
      <w:r>
        <w:rPr>
          <w:rFonts w:hint="eastAsia" w:ascii="宋体" w:hAnsi="宋体" w:eastAsia="宋体" w:cs="宋体"/>
          <w:sz w:val="24"/>
          <w:lang w:val="en-US" w:eastAsia="zh-CN"/>
        </w:rPr>
        <w:t>报价明细表</w:t>
      </w:r>
    </w:p>
    <w:p>
      <w:pPr>
        <w:spacing w:line="470" w:lineRule="exact"/>
        <w:ind w:firstLine="482" w:firstLineChars="200"/>
        <w:outlineLvl w:val="0"/>
        <w:rPr>
          <w:rFonts w:hint="eastAsia" w:ascii="宋体" w:hAnsi="宋体" w:eastAsia="宋体" w:cs="宋体"/>
          <w:sz w:val="24"/>
        </w:rPr>
      </w:pPr>
      <w:r>
        <w:rPr>
          <w:rFonts w:hint="eastAsia" w:ascii="宋体" w:hAnsi="宋体" w:eastAsia="宋体" w:cs="宋体"/>
          <w:lang w:val="en-US" w:eastAsia="zh-CN"/>
        </w:rPr>
        <w:t>五、</w:t>
      </w:r>
      <w:r>
        <w:rPr>
          <w:rFonts w:hint="eastAsia" w:ascii="宋体" w:hAnsi="宋体" w:eastAsia="宋体" w:cs="宋体"/>
        </w:rPr>
        <w:fldChar w:fldCharType="begin"/>
      </w:r>
      <w:r>
        <w:rPr>
          <w:rFonts w:hint="eastAsia" w:ascii="宋体" w:hAnsi="宋体" w:eastAsia="宋体" w:cs="宋体"/>
        </w:rPr>
        <w:instrText xml:space="preserve"> HYPERLINK \l "_Toc367286158" </w:instrText>
      </w:r>
      <w:r>
        <w:rPr>
          <w:rFonts w:hint="eastAsia" w:ascii="宋体" w:hAnsi="宋体" w:eastAsia="宋体" w:cs="宋体"/>
        </w:rPr>
        <w:fldChar w:fldCharType="separate"/>
      </w:r>
      <w:r>
        <w:rPr>
          <w:rFonts w:hint="eastAsia" w:ascii="宋体" w:hAnsi="宋体" w:eastAsia="宋体" w:cs="宋体"/>
          <w:sz w:val="24"/>
        </w:rPr>
        <w:t>资格审查</w:t>
      </w:r>
      <w:r>
        <w:rPr>
          <w:rFonts w:hint="eastAsia" w:ascii="宋体" w:hAnsi="宋体" w:eastAsia="宋体" w:cs="宋体"/>
          <w:sz w:val="24"/>
        </w:rPr>
        <w:fldChar w:fldCharType="end"/>
      </w:r>
      <w:r>
        <w:rPr>
          <w:rFonts w:hint="eastAsia" w:ascii="宋体" w:hAnsi="宋体" w:eastAsia="宋体" w:cs="宋体"/>
          <w:sz w:val="24"/>
        </w:rPr>
        <w:t>资料</w:t>
      </w:r>
      <w:bookmarkEnd w:id="169"/>
      <w:bookmarkEnd w:id="170"/>
      <w:bookmarkEnd w:id="171"/>
      <w:bookmarkEnd w:id="172"/>
    </w:p>
    <w:p>
      <w:pPr>
        <w:spacing w:line="470" w:lineRule="exact"/>
        <w:ind w:firstLine="482" w:firstLineChars="200"/>
        <w:outlineLvl w:val="0"/>
        <w:rPr>
          <w:rFonts w:hint="eastAsia" w:ascii="宋体" w:hAnsi="宋体" w:eastAsia="宋体" w:cs="宋体"/>
          <w:sz w:val="24"/>
        </w:rPr>
      </w:pPr>
      <w:bookmarkStart w:id="173" w:name="_Toc19833"/>
      <w:bookmarkStart w:id="174" w:name="_Toc18517"/>
      <w:bookmarkStart w:id="175" w:name="_Toc21056"/>
      <w:bookmarkStart w:id="176" w:name="_Toc1098"/>
      <w:r>
        <w:rPr>
          <w:rFonts w:hint="eastAsia" w:ascii="宋体" w:hAnsi="宋体" w:eastAsia="宋体" w:cs="宋体"/>
          <w:sz w:val="24"/>
          <w:lang w:val="en-US" w:eastAsia="zh-CN"/>
        </w:rPr>
        <w:t>六</w:t>
      </w:r>
      <w:r>
        <w:rPr>
          <w:rFonts w:hint="eastAsia" w:ascii="宋体" w:hAnsi="宋体" w:eastAsia="宋体" w:cs="宋体"/>
          <w:sz w:val="24"/>
        </w:rPr>
        <w:t>、</w:t>
      </w:r>
      <w:bookmarkEnd w:id="173"/>
      <w:bookmarkEnd w:id="174"/>
      <w:r>
        <w:rPr>
          <w:rFonts w:hint="eastAsia" w:cs="宋体"/>
          <w:sz w:val="24"/>
          <w:lang w:val="en-US" w:eastAsia="zh-CN"/>
        </w:rPr>
        <w:t>技术</w:t>
      </w:r>
      <w:r>
        <w:rPr>
          <w:rFonts w:hint="eastAsia" w:ascii="宋体" w:hAnsi="宋体" w:eastAsia="宋体" w:cs="宋体"/>
          <w:sz w:val="24"/>
        </w:rPr>
        <w:t>方案</w:t>
      </w:r>
      <w:bookmarkEnd w:id="175"/>
      <w:bookmarkEnd w:id="176"/>
    </w:p>
    <w:p>
      <w:pPr>
        <w:pStyle w:val="11"/>
        <w:rPr>
          <w:rFonts w:hint="default" w:eastAsia="宋体"/>
          <w:lang w:val="en-US" w:eastAsia="zh-CN"/>
        </w:rPr>
      </w:pPr>
      <w:r>
        <w:rPr>
          <w:rFonts w:hint="eastAsia" w:ascii="宋体" w:hAnsi="宋体" w:cs="宋体"/>
          <w:sz w:val="24"/>
          <w:lang w:val="en-US" w:eastAsia="zh-CN"/>
        </w:rPr>
        <w:t>七、商务偏离表</w:t>
      </w:r>
    </w:p>
    <w:p>
      <w:pPr>
        <w:spacing w:line="470" w:lineRule="exact"/>
        <w:ind w:firstLine="482" w:firstLineChars="200"/>
        <w:outlineLvl w:val="0"/>
        <w:rPr>
          <w:rFonts w:hint="eastAsia" w:ascii="宋体" w:hAnsi="宋体" w:eastAsia="宋体" w:cs="宋体"/>
          <w:sz w:val="24"/>
        </w:rPr>
      </w:pPr>
      <w:bookmarkStart w:id="177" w:name="_Toc13571"/>
      <w:bookmarkStart w:id="178" w:name="_Toc12"/>
      <w:bookmarkStart w:id="179" w:name="_Toc16225"/>
      <w:bookmarkStart w:id="180" w:name="_Toc25215"/>
      <w:r>
        <w:rPr>
          <w:rFonts w:hint="eastAsia" w:cs="宋体"/>
          <w:sz w:val="24"/>
          <w:lang w:val="en-US" w:eastAsia="zh-CN"/>
        </w:rPr>
        <w:t>八</w:t>
      </w:r>
      <w:r>
        <w:rPr>
          <w:rFonts w:hint="eastAsia" w:ascii="宋体" w:hAnsi="宋体" w:eastAsia="宋体" w:cs="宋体"/>
          <w:sz w:val="24"/>
        </w:rPr>
        <w:t>、</w:t>
      </w:r>
      <w:bookmarkEnd w:id="177"/>
      <w:bookmarkEnd w:id="178"/>
      <w:bookmarkEnd w:id="179"/>
      <w:bookmarkEnd w:id="180"/>
      <w:r>
        <w:rPr>
          <w:rFonts w:hint="eastAsia" w:ascii="宋体" w:hAnsi="宋体" w:eastAsia="宋体" w:cs="宋体"/>
          <w:sz w:val="24"/>
          <w:lang w:val="en-US" w:eastAsia="zh-CN"/>
        </w:rPr>
        <w:t>菏泽市政府采购供应商资格信用承诺函</w:t>
      </w:r>
    </w:p>
    <w:p>
      <w:pPr>
        <w:spacing w:line="470" w:lineRule="exact"/>
        <w:ind w:firstLine="482" w:firstLineChars="200"/>
        <w:outlineLvl w:val="0"/>
        <w:rPr>
          <w:rFonts w:hint="eastAsia" w:ascii="宋体" w:hAnsi="宋体" w:eastAsia="宋体" w:cs="宋体"/>
          <w:sz w:val="24"/>
        </w:rPr>
      </w:pPr>
      <w:bookmarkStart w:id="181" w:name="_Toc27540"/>
      <w:bookmarkStart w:id="182" w:name="_Toc24813"/>
      <w:bookmarkStart w:id="183" w:name="_Toc10371"/>
      <w:bookmarkStart w:id="184" w:name="_Toc29382"/>
      <w:r>
        <w:rPr>
          <w:rFonts w:hint="eastAsia" w:cs="宋体"/>
          <w:sz w:val="24"/>
          <w:lang w:val="en-US" w:eastAsia="zh-CN"/>
        </w:rPr>
        <w:t>九</w:t>
      </w:r>
      <w:r>
        <w:rPr>
          <w:rFonts w:hint="eastAsia" w:ascii="宋体" w:hAnsi="宋体" w:eastAsia="宋体" w:cs="宋体"/>
          <w:sz w:val="24"/>
        </w:rPr>
        <w:t>、供应商认为需要提供的其他资料</w:t>
      </w:r>
      <w:bookmarkEnd w:id="181"/>
      <w:bookmarkEnd w:id="182"/>
      <w:bookmarkEnd w:id="183"/>
      <w:bookmarkEnd w:id="184"/>
    </w:p>
    <w:p>
      <w:pPr>
        <w:spacing w:line="470" w:lineRule="exact"/>
        <w:ind w:firstLine="482" w:firstLineChars="200"/>
        <w:outlineLvl w:val="0"/>
        <w:rPr>
          <w:rFonts w:hint="eastAsia" w:ascii="宋体" w:hAnsi="宋体" w:eastAsia="宋体" w:cs="宋体"/>
          <w:bCs/>
          <w:sz w:val="24"/>
        </w:rPr>
      </w:pPr>
      <w:bookmarkStart w:id="185" w:name="_Toc3369"/>
      <w:bookmarkStart w:id="186" w:name="_Toc30363"/>
      <w:bookmarkStart w:id="187" w:name="_Toc26885"/>
      <w:bookmarkStart w:id="188" w:name="_Toc28118"/>
      <w:r>
        <w:rPr>
          <w:rFonts w:hint="eastAsia" w:cs="宋体"/>
          <w:sz w:val="24"/>
          <w:lang w:val="en-US" w:eastAsia="zh-CN"/>
        </w:rPr>
        <w:t>十</w:t>
      </w:r>
      <w:r>
        <w:rPr>
          <w:rFonts w:hint="eastAsia" w:ascii="宋体" w:hAnsi="宋体" w:eastAsia="宋体" w:cs="宋体"/>
          <w:sz w:val="24"/>
        </w:rPr>
        <w:t>、《中小企业声明函》</w:t>
      </w:r>
      <w:bookmarkEnd w:id="185"/>
      <w:bookmarkEnd w:id="186"/>
      <w:bookmarkEnd w:id="187"/>
      <w:bookmarkEnd w:id="188"/>
    </w:p>
    <w:p>
      <w:pPr>
        <w:spacing w:line="500" w:lineRule="exact"/>
        <w:ind w:left="482" w:leftChars="200"/>
        <w:rPr>
          <w:rFonts w:hint="eastAsia" w:ascii="宋体" w:hAnsi="宋体" w:eastAsia="宋体" w:cs="宋体"/>
          <w:bCs/>
          <w:sz w:val="24"/>
        </w:rPr>
      </w:pPr>
      <w:r>
        <w:rPr>
          <w:rFonts w:hint="eastAsia" w:ascii="宋体" w:hAnsi="宋体" w:eastAsia="宋体" w:cs="宋体"/>
          <w:bCs/>
          <w:sz w:val="24"/>
        </w:rPr>
        <w:br w:type="page"/>
      </w:r>
    </w:p>
    <w:p>
      <w:pPr>
        <w:pStyle w:val="7"/>
        <w:numPr>
          <w:ilvl w:val="0"/>
          <w:numId w:val="29"/>
        </w:numPr>
        <w:spacing w:line="600" w:lineRule="exact"/>
        <w:jc w:val="center"/>
        <w:rPr>
          <w:rFonts w:hint="eastAsia" w:ascii="宋体" w:hAnsi="宋体" w:eastAsia="宋体" w:cs="宋体"/>
          <w:sz w:val="30"/>
          <w:szCs w:val="30"/>
        </w:rPr>
      </w:pPr>
      <w:bookmarkStart w:id="189" w:name="_Toc5080_WPSOffice_Level1"/>
      <w:bookmarkStart w:id="190" w:name="_Toc11634"/>
      <w:bookmarkStart w:id="191" w:name="_Toc5389_WPSOffice_Level1"/>
      <w:bookmarkStart w:id="192" w:name="_Toc23992"/>
      <w:bookmarkStart w:id="193" w:name="_Toc10182"/>
      <w:bookmarkStart w:id="194" w:name="_Toc7459_WPSOffice_Level1"/>
      <w:bookmarkStart w:id="195" w:name="_Toc17384_WPSOffice_Level1"/>
      <w:bookmarkStart w:id="196" w:name="_Toc26042"/>
      <w:bookmarkStart w:id="197" w:name="_Toc28904_WPSOffice_Level1"/>
      <w:bookmarkStart w:id="198" w:name="_Toc18390_WPSOffice_Level1"/>
      <w:bookmarkStart w:id="199" w:name="_Toc32701_WPSOffice_Level1"/>
      <w:r>
        <w:rPr>
          <w:rFonts w:hint="eastAsia" w:ascii="宋体" w:hAnsi="宋体" w:eastAsia="宋体" w:cs="宋体"/>
          <w:sz w:val="30"/>
          <w:szCs w:val="30"/>
        </w:rPr>
        <w:t>报价函</w:t>
      </w:r>
      <w:bookmarkEnd w:id="189"/>
      <w:bookmarkEnd w:id="190"/>
      <w:bookmarkEnd w:id="191"/>
      <w:bookmarkEnd w:id="192"/>
      <w:bookmarkEnd w:id="193"/>
      <w:bookmarkEnd w:id="194"/>
      <w:bookmarkEnd w:id="195"/>
      <w:bookmarkEnd w:id="196"/>
      <w:bookmarkEnd w:id="197"/>
      <w:bookmarkEnd w:id="198"/>
      <w:bookmarkEnd w:id="199"/>
    </w:p>
    <w:p>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采购</w:t>
      </w:r>
      <w:r>
        <w:rPr>
          <w:rFonts w:hint="eastAsia" w:ascii="宋体" w:hAnsi="宋体" w:eastAsia="宋体" w:cs="宋体"/>
          <w:sz w:val="24"/>
        </w:rPr>
        <w:t>人名称）：</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lang w:val="en-US" w:eastAsia="zh-CN"/>
        </w:rPr>
        <w:t>竞争性磋商</w:t>
      </w:r>
      <w:r>
        <w:rPr>
          <w:rFonts w:hint="eastAsia" w:ascii="宋体" w:hAnsi="宋体" w:eastAsia="宋体" w:cs="宋体"/>
          <w:sz w:val="24"/>
        </w:rPr>
        <w:t>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）的投标总报价，服务期</w:t>
      </w:r>
      <w:r>
        <w:rPr>
          <w:rFonts w:hint="eastAsia" w:ascii="宋体" w:hAnsi="宋体" w:eastAsia="宋体" w:cs="宋体"/>
          <w:sz w:val="24"/>
          <w:u w:val="single"/>
        </w:rPr>
        <w:t xml:space="preserve">      </w:t>
      </w:r>
      <w:r>
        <w:rPr>
          <w:rFonts w:hint="eastAsia" w:ascii="宋体" w:hAnsi="宋体" w:eastAsia="宋体" w:cs="宋体"/>
          <w:sz w:val="24"/>
        </w:rPr>
        <w:t>，按合同约定实施和完成本项目，确保质量为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2、我方承诺在投标有效期内不修改、撤销</w:t>
      </w:r>
      <w:r>
        <w:rPr>
          <w:rFonts w:hint="eastAsia" w:ascii="宋体" w:hAnsi="宋体" w:eastAsia="宋体" w:cs="宋体"/>
          <w:sz w:val="24"/>
          <w:lang w:val="en-US" w:eastAsia="zh-CN"/>
        </w:rPr>
        <w:t>响应</w:t>
      </w:r>
      <w:r>
        <w:rPr>
          <w:rFonts w:hint="eastAsia" w:ascii="宋体" w:hAnsi="宋体" w:eastAsia="宋体" w:cs="宋体"/>
          <w:sz w:val="24"/>
        </w:rPr>
        <w:t>文件。</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3、如我方中标：</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（1）我方承诺在收到</w:t>
      </w:r>
      <w:r>
        <w:rPr>
          <w:rFonts w:hint="eastAsia" w:ascii="宋体" w:hAnsi="宋体" w:eastAsia="宋体" w:cs="宋体"/>
          <w:sz w:val="24"/>
          <w:lang w:eastAsia="zh-CN"/>
        </w:rPr>
        <w:t>成交通知书</w:t>
      </w:r>
      <w:r>
        <w:rPr>
          <w:rFonts w:hint="eastAsia" w:ascii="宋体" w:hAnsi="宋体" w:eastAsia="宋体" w:cs="宋体"/>
          <w:sz w:val="24"/>
        </w:rPr>
        <w:t>后，在</w:t>
      </w:r>
      <w:r>
        <w:rPr>
          <w:rFonts w:hint="eastAsia" w:ascii="宋体" w:hAnsi="宋体" w:eastAsia="宋体" w:cs="宋体"/>
          <w:sz w:val="24"/>
          <w:lang w:eastAsia="zh-CN"/>
        </w:rPr>
        <w:t>成交通知书</w:t>
      </w:r>
      <w:r>
        <w:rPr>
          <w:rFonts w:hint="eastAsia" w:ascii="宋体" w:hAnsi="宋体" w:eastAsia="宋体" w:cs="宋体"/>
          <w:sz w:val="24"/>
        </w:rPr>
        <w:t>规定的期限内与你方签订合同。</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（2）我方承诺在合同约定的期限内完成并移交全部合同项目。</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4、我方在此声明，所递交的</w:t>
      </w:r>
      <w:r>
        <w:rPr>
          <w:rFonts w:hint="eastAsia" w:cs="宋体"/>
          <w:sz w:val="24"/>
          <w:lang w:eastAsia="zh-CN"/>
        </w:rPr>
        <w:t>响应文件</w:t>
      </w:r>
      <w:r>
        <w:rPr>
          <w:rFonts w:hint="eastAsia" w:ascii="宋体" w:hAnsi="宋体" w:eastAsia="宋体" w:cs="宋体"/>
          <w:sz w:val="24"/>
        </w:rPr>
        <w:t>及有关资料内容完整、真实和准确。</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u w:val="single"/>
        </w:rPr>
        <w:t xml:space="preserve">                    </w:t>
      </w:r>
      <w:r>
        <w:rPr>
          <w:rFonts w:hint="eastAsia" w:ascii="宋体" w:hAnsi="宋体" w:eastAsia="宋体" w:cs="宋体"/>
          <w:sz w:val="24"/>
        </w:rPr>
        <w:t>（其他补充说明）。</w:t>
      </w:r>
    </w:p>
    <w:p>
      <w:pPr>
        <w:spacing w:line="360" w:lineRule="auto"/>
        <w:rPr>
          <w:rFonts w:hint="eastAsia" w:ascii="宋体" w:hAnsi="宋体" w:eastAsia="宋体" w:cs="宋体"/>
          <w:szCs w:val="21"/>
        </w:rPr>
      </w:pPr>
      <w:r>
        <w:rPr>
          <w:rFonts w:hint="eastAsia" w:ascii="宋体" w:hAnsi="宋体" w:eastAsia="宋体" w:cs="宋体"/>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rPr>
          <w:rFonts w:hint="eastAsia" w:ascii="宋体" w:hAnsi="宋体" w:eastAsia="宋体" w:cs="宋体"/>
        </w:rPr>
      </w:pPr>
    </w:p>
    <w:p>
      <w:pPr>
        <w:rPr>
          <w:rFonts w:hint="eastAsia" w:ascii="宋体" w:hAnsi="宋体" w:eastAsia="宋体" w:cs="宋体"/>
          <w:sz w:val="30"/>
          <w:szCs w:val="30"/>
        </w:rPr>
      </w:pPr>
      <w:bookmarkStart w:id="200" w:name="_Toc21646"/>
      <w:bookmarkStart w:id="201" w:name="_Toc4771"/>
      <w:bookmarkStart w:id="202" w:name="_Toc32454"/>
      <w:bookmarkStart w:id="203" w:name="_Toc493837054"/>
      <w:bookmarkStart w:id="204" w:name="_Toc469342439"/>
      <w:bookmarkStart w:id="205" w:name="_Toc7708"/>
      <w:bookmarkStart w:id="206" w:name="_Toc493842413"/>
      <w:r>
        <w:rPr>
          <w:rFonts w:hint="eastAsia" w:ascii="宋体" w:hAnsi="宋体" w:eastAsia="宋体" w:cs="宋体"/>
          <w:sz w:val="30"/>
          <w:szCs w:val="30"/>
        </w:rPr>
        <w:br w:type="page"/>
      </w:r>
    </w:p>
    <w:p>
      <w:pPr>
        <w:pStyle w:val="7"/>
        <w:spacing w:line="600" w:lineRule="exact"/>
        <w:jc w:val="center"/>
        <w:rPr>
          <w:rFonts w:hint="eastAsia" w:ascii="宋体" w:hAnsi="宋体" w:eastAsia="宋体" w:cs="宋体"/>
          <w:sz w:val="30"/>
          <w:szCs w:val="30"/>
        </w:rPr>
      </w:pPr>
      <w:r>
        <w:rPr>
          <w:rFonts w:hint="eastAsia" w:ascii="宋体" w:hAnsi="宋体" w:eastAsia="宋体" w:cs="宋体"/>
          <w:sz w:val="30"/>
          <w:szCs w:val="30"/>
        </w:rPr>
        <w:t>二、报价一览表</w:t>
      </w:r>
      <w:bookmarkEnd w:id="200"/>
      <w:bookmarkEnd w:id="201"/>
      <w:bookmarkEnd w:id="202"/>
      <w:bookmarkEnd w:id="203"/>
      <w:bookmarkEnd w:id="204"/>
      <w:bookmarkEnd w:id="205"/>
      <w:bookmarkEnd w:id="206"/>
    </w:p>
    <w:tbl>
      <w:tblPr>
        <w:tblStyle w:val="2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70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供应商名称</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1943" w:type="dxa"/>
            <w:vMerge w:val="restart"/>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投标报价</w:t>
            </w:r>
          </w:p>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（元）</w:t>
            </w:r>
          </w:p>
        </w:tc>
        <w:tc>
          <w:tcPr>
            <w:tcW w:w="1707"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大写</w:t>
            </w:r>
          </w:p>
        </w:tc>
        <w:tc>
          <w:tcPr>
            <w:tcW w:w="5670"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943" w:type="dxa"/>
            <w:vMerge w:val="continue"/>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c>
          <w:tcPr>
            <w:tcW w:w="1707"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sz w:val="24"/>
              </w:rPr>
            </w:pPr>
            <w:r>
              <w:rPr>
                <w:rFonts w:hint="eastAsia" w:ascii="宋体" w:hAnsi="宋体" w:eastAsia="宋体" w:cs="宋体"/>
                <w:color w:val="000000"/>
                <w:sz w:val="24"/>
              </w:rPr>
              <w:t>小写</w:t>
            </w:r>
          </w:p>
        </w:tc>
        <w:tc>
          <w:tcPr>
            <w:tcW w:w="5670"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期限</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项目负责人</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服务要求</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对磋商文件的认同程度</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备注</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bl>
    <w:p>
      <w:pPr>
        <w:rPr>
          <w:rFonts w:hint="eastAsia" w:ascii="宋体" w:hAnsi="宋体" w:eastAsia="宋体" w:cs="宋体"/>
          <w:b/>
          <w:bCs/>
          <w:sz w:val="24"/>
        </w:rPr>
      </w:pPr>
    </w:p>
    <w:p>
      <w:pPr>
        <w:ind w:left="968" w:hanging="964" w:hangingChars="400"/>
        <w:rPr>
          <w:rFonts w:hint="eastAsia" w:ascii="宋体" w:hAnsi="宋体" w:eastAsia="宋体" w:cs="宋体"/>
          <w:bCs/>
          <w:color w:val="000000"/>
          <w:sz w:val="24"/>
        </w:rPr>
      </w:pPr>
    </w:p>
    <w:p>
      <w:pPr>
        <w:spacing w:line="500" w:lineRule="exact"/>
        <w:rPr>
          <w:rFonts w:hint="eastAsia" w:ascii="宋体" w:hAnsi="宋体" w:eastAsia="宋体" w:cs="宋体"/>
          <w:sz w:val="24"/>
        </w:rPr>
      </w:pPr>
      <w:bookmarkStart w:id="207" w:name="_Toc493842414"/>
      <w:bookmarkStart w:id="208" w:name="_Toc469342440"/>
      <w:bookmarkStart w:id="209" w:name="_Toc493837055"/>
      <w:r>
        <w:rPr>
          <w:rFonts w:hint="eastAsia" w:ascii="宋体" w:hAnsi="宋体" w:eastAsia="宋体" w:cs="宋体"/>
          <w:sz w:val="24"/>
        </w:rPr>
        <w:t>供应商：（盖单位章）</w:t>
      </w:r>
    </w:p>
    <w:p>
      <w:pPr>
        <w:spacing w:line="500" w:lineRule="exact"/>
        <w:rPr>
          <w:rFonts w:hint="eastAsia" w:ascii="宋体" w:hAnsi="宋体" w:eastAsia="宋体" w:cs="宋体"/>
          <w:sz w:val="24"/>
        </w:rPr>
      </w:pPr>
      <w:r>
        <w:rPr>
          <w:rFonts w:hint="eastAsia" w:ascii="宋体" w:hAnsi="宋体" w:eastAsia="宋体" w:cs="宋体"/>
          <w:sz w:val="24"/>
        </w:rPr>
        <w:t>供应商法定代表人或其委托代理人：（签字或盖章）</w:t>
      </w:r>
    </w:p>
    <w:p>
      <w:pPr>
        <w:spacing w:line="500" w:lineRule="exact"/>
        <w:ind w:firstLine="723" w:firstLineChars="300"/>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bookmarkEnd w:id="207"/>
      <w:bookmarkEnd w:id="208"/>
      <w:bookmarkEnd w:id="209"/>
      <w:bookmarkStart w:id="210" w:name="_Toc493842415"/>
      <w:bookmarkStart w:id="211" w:name="_Toc179632811"/>
      <w:bookmarkStart w:id="212" w:name="_Toc469342441"/>
      <w:bookmarkStart w:id="213" w:name="_Toc16041"/>
      <w:bookmarkStart w:id="214" w:name="_Toc144974860"/>
      <w:bookmarkStart w:id="215" w:name="_Toc285809535"/>
      <w:bookmarkStart w:id="216" w:name="_Toc493837056"/>
      <w:bookmarkStart w:id="217" w:name="_Toc152045791"/>
      <w:bookmarkStart w:id="218" w:name="_Toc152042580"/>
    </w:p>
    <w:p>
      <w:pPr>
        <w:spacing w:line="500" w:lineRule="exact"/>
        <w:rPr>
          <w:rFonts w:hint="eastAsia" w:ascii="宋体" w:hAnsi="宋体" w:eastAsia="宋体" w:cs="宋体"/>
        </w:rPr>
      </w:pPr>
      <w:r>
        <w:rPr>
          <w:rFonts w:hint="eastAsia" w:ascii="宋体" w:hAnsi="宋体" w:eastAsia="宋体" w:cs="宋体"/>
          <w:sz w:val="24"/>
        </w:rPr>
        <w:br w:type="page"/>
      </w:r>
    </w:p>
    <w:p>
      <w:pPr>
        <w:pStyle w:val="7"/>
        <w:spacing w:line="600" w:lineRule="exact"/>
        <w:jc w:val="center"/>
        <w:rPr>
          <w:rFonts w:hint="eastAsia" w:ascii="宋体" w:hAnsi="宋体" w:eastAsia="宋体" w:cs="宋体"/>
          <w:sz w:val="30"/>
          <w:szCs w:val="30"/>
        </w:rPr>
      </w:pPr>
      <w:bookmarkStart w:id="219" w:name="_Toc22990"/>
      <w:bookmarkStart w:id="220" w:name="_Toc20666"/>
      <w:bookmarkStart w:id="221" w:name="_Toc3947"/>
      <w:r>
        <w:rPr>
          <w:rFonts w:hint="eastAsia" w:ascii="宋体" w:hAnsi="宋体" w:eastAsia="宋体" w:cs="宋体"/>
          <w:sz w:val="30"/>
          <w:szCs w:val="30"/>
        </w:rPr>
        <w:t>三、法定代表人身份证明</w:t>
      </w:r>
      <w:bookmarkEnd w:id="210"/>
      <w:bookmarkEnd w:id="211"/>
      <w:bookmarkEnd w:id="212"/>
      <w:bookmarkEnd w:id="213"/>
      <w:bookmarkEnd w:id="214"/>
      <w:bookmarkEnd w:id="215"/>
      <w:bookmarkEnd w:id="216"/>
      <w:bookmarkEnd w:id="217"/>
      <w:bookmarkEnd w:id="218"/>
      <w:bookmarkEnd w:id="219"/>
      <w:bookmarkEnd w:id="220"/>
      <w:bookmarkEnd w:id="221"/>
    </w:p>
    <w:p>
      <w:pPr>
        <w:spacing w:line="480" w:lineRule="exact"/>
        <w:rPr>
          <w:rFonts w:hint="eastAsia" w:ascii="宋体" w:hAnsi="宋体" w:eastAsia="宋体" w:cs="宋体"/>
          <w:sz w:val="24"/>
        </w:rPr>
      </w:pPr>
    </w:p>
    <w:p>
      <w:pPr>
        <w:spacing w:line="480" w:lineRule="exact"/>
        <w:rPr>
          <w:rFonts w:hint="eastAsia" w:ascii="宋体" w:hAnsi="宋体" w:eastAsia="宋体" w:cs="宋体"/>
          <w:sz w:val="24"/>
        </w:rPr>
      </w:pPr>
    </w:p>
    <w:p>
      <w:pPr>
        <w:spacing w:line="480" w:lineRule="auto"/>
        <w:rPr>
          <w:rFonts w:hint="eastAsia" w:ascii="宋体" w:hAnsi="宋体" w:eastAsia="宋体" w:cs="宋体"/>
          <w:sz w:val="24"/>
          <w:u w:val="single"/>
        </w:rPr>
      </w:pPr>
      <w:r>
        <w:rPr>
          <w:rFonts w:hint="eastAsia" w:ascii="宋体" w:hAnsi="宋体" w:eastAsia="宋体" w:cs="宋体"/>
          <w:sz w:val="24"/>
        </w:rPr>
        <w:t>供应商名称：</w:t>
      </w:r>
    </w:p>
    <w:p>
      <w:pPr>
        <w:spacing w:line="480" w:lineRule="auto"/>
        <w:rPr>
          <w:rFonts w:hint="eastAsia" w:ascii="宋体" w:hAnsi="宋体" w:eastAsia="宋体" w:cs="宋体"/>
          <w:sz w:val="24"/>
        </w:rPr>
      </w:pPr>
      <w:r>
        <w:rPr>
          <w:rFonts w:hint="eastAsia" w:ascii="宋体" w:hAnsi="宋体" w:eastAsia="宋体" w:cs="宋体"/>
          <w:sz w:val="24"/>
        </w:rPr>
        <w:t>单位性质：</w:t>
      </w:r>
    </w:p>
    <w:p>
      <w:pPr>
        <w:spacing w:line="480" w:lineRule="auto"/>
        <w:rPr>
          <w:rFonts w:hint="eastAsia" w:ascii="宋体" w:hAnsi="宋体" w:eastAsia="宋体" w:cs="宋体"/>
          <w:sz w:val="24"/>
        </w:rPr>
      </w:pPr>
      <w:r>
        <w:rPr>
          <w:rFonts w:hint="eastAsia" w:ascii="宋体" w:hAnsi="宋体" w:eastAsia="宋体" w:cs="宋体"/>
          <w:sz w:val="24"/>
        </w:rPr>
        <w:t>地址：</w:t>
      </w:r>
    </w:p>
    <w:p>
      <w:pPr>
        <w:spacing w:line="480" w:lineRule="auto"/>
        <w:rPr>
          <w:rFonts w:hint="eastAsia" w:ascii="宋体" w:hAnsi="宋体" w:eastAsia="宋体" w:cs="宋体"/>
          <w:sz w:val="24"/>
        </w:rPr>
      </w:pPr>
      <w:r>
        <w:rPr>
          <w:rFonts w:hint="eastAsia" w:ascii="宋体" w:hAnsi="宋体" w:eastAsia="宋体" w:cs="宋体"/>
          <w:sz w:val="24"/>
        </w:rPr>
        <w:t>成立时间：</w:t>
      </w:r>
      <w:r>
        <w:rPr>
          <w:rFonts w:hint="eastAsia" w:cs="宋体"/>
          <w:sz w:val="24"/>
          <w:lang w:val="en-US" w:eastAsia="zh-CN"/>
        </w:rPr>
        <w:t xml:space="preserve">   </w:t>
      </w:r>
      <w:r>
        <w:rPr>
          <w:rFonts w:hint="eastAsia" w:ascii="宋体" w:hAnsi="宋体" w:eastAsia="宋体" w:cs="宋体"/>
          <w:sz w:val="24"/>
        </w:rPr>
        <w:t>年</w:t>
      </w:r>
      <w:r>
        <w:rPr>
          <w:rFonts w:hint="eastAsia" w:cs="宋体"/>
          <w:sz w:val="24"/>
          <w:lang w:val="en-US" w:eastAsia="zh-CN"/>
        </w:rPr>
        <w:t xml:space="preserve">  </w:t>
      </w:r>
      <w:r>
        <w:rPr>
          <w:rFonts w:hint="eastAsia" w:ascii="宋体" w:hAnsi="宋体" w:eastAsia="宋体" w:cs="宋体"/>
          <w:sz w:val="24"/>
        </w:rPr>
        <w:t>月</w:t>
      </w:r>
      <w:r>
        <w:rPr>
          <w:rFonts w:hint="eastAsia" w:cs="宋体"/>
          <w:sz w:val="24"/>
          <w:lang w:val="en-US" w:eastAsia="zh-CN"/>
        </w:rPr>
        <w:t xml:space="preserve">   </w:t>
      </w:r>
      <w:r>
        <w:rPr>
          <w:rFonts w:hint="eastAsia" w:ascii="宋体" w:hAnsi="宋体" w:eastAsia="宋体" w:cs="宋体"/>
          <w:sz w:val="24"/>
        </w:rPr>
        <w:t>日</w:t>
      </w:r>
    </w:p>
    <w:p>
      <w:pPr>
        <w:spacing w:line="480" w:lineRule="auto"/>
        <w:rPr>
          <w:rFonts w:hint="eastAsia" w:ascii="宋体" w:hAnsi="宋体" w:eastAsia="宋体" w:cs="宋体"/>
          <w:sz w:val="24"/>
        </w:rPr>
      </w:pPr>
      <w:r>
        <w:rPr>
          <w:rFonts w:hint="eastAsia" w:ascii="宋体" w:hAnsi="宋体" w:eastAsia="宋体" w:cs="宋体"/>
          <w:sz w:val="24"/>
        </w:rPr>
        <w:t>经营期限：</w:t>
      </w:r>
    </w:p>
    <w:p>
      <w:pPr>
        <w:spacing w:line="480" w:lineRule="auto"/>
        <w:rPr>
          <w:rFonts w:hint="eastAsia" w:ascii="宋体" w:hAnsi="宋体" w:eastAsia="宋体" w:cs="宋体"/>
          <w:sz w:val="24"/>
        </w:rPr>
      </w:pPr>
      <w:r>
        <w:rPr>
          <w:rFonts w:hint="eastAsia" w:ascii="宋体" w:hAnsi="宋体" w:eastAsia="宋体" w:cs="宋体"/>
          <w:sz w:val="24"/>
        </w:rPr>
        <w:t>姓名： 性别： 年龄：职务：</w:t>
      </w:r>
    </w:p>
    <w:p>
      <w:pPr>
        <w:spacing w:line="480" w:lineRule="auto"/>
        <w:rPr>
          <w:rFonts w:hint="eastAsia" w:ascii="宋体" w:hAnsi="宋体" w:eastAsia="宋体" w:cs="宋体"/>
          <w:sz w:val="24"/>
        </w:rPr>
      </w:pPr>
      <w:r>
        <w:rPr>
          <w:rFonts w:hint="eastAsia" w:ascii="宋体" w:hAnsi="宋体" w:eastAsia="宋体" w:cs="宋体"/>
          <w:sz w:val="24"/>
        </w:rPr>
        <w:t>系（供应商名称）的法定代表人。</w:t>
      </w:r>
    </w:p>
    <w:p>
      <w:pPr>
        <w:spacing w:line="480" w:lineRule="auto"/>
        <w:ind w:firstLine="482" w:firstLineChars="200"/>
        <w:rPr>
          <w:rFonts w:hint="eastAsia" w:ascii="宋体" w:hAnsi="宋体" w:eastAsia="宋体" w:cs="宋体"/>
          <w:sz w:val="24"/>
        </w:rPr>
      </w:pPr>
      <w:r>
        <w:rPr>
          <w:rFonts w:hint="eastAsia" w:ascii="宋体" w:hAnsi="宋体" w:eastAsia="宋体" w:cs="宋体"/>
          <w:sz w:val="24"/>
        </w:rPr>
        <w:t>特此证明。</w:t>
      </w:r>
    </w:p>
    <w:p>
      <w:pPr>
        <w:spacing w:line="480" w:lineRule="auto"/>
        <w:ind w:firstLine="482" w:firstLineChars="200"/>
        <w:rPr>
          <w:rFonts w:hint="eastAsia" w:ascii="宋体" w:hAnsi="宋体" w:eastAsia="宋体" w:cs="宋体"/>
          <w:sz w:val="24"/>
        </w:rPr>
      </w:pPr>
      <w:r>
        <w:rPr>
          <w:rFonts w:hint="eastAsia" w:ascii="宋体" w:hAnsi="宋体" w:eastAsia="宋体" w:cs="宋体"/>
          <w:sz w:val="24"/>
        </w:rPr>
        <w:t>附：法定代表人身份证复印件</w:t>
      </w: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500" w:lineRule="exact"/>
        <w:rPr>
          <w:rFonts w:hint="eastAsia" w:ascii="宋体" w:hAnsi="宋体" w:eastAsia="宋体" w:cs="宋体"/>
          <w:sz w:val="24"/>
        </w:rPr>
      </w:pPr>
      <w:r>
        <w:rPr>
          <w:rFonts w:hint="eastAsia" w:ascii="宋体" w:hAnsi="宋体" w:eastAsia="宋体" w:cs="宋体"/>
          <w:sz w:val="24"/>
        </w:rPr>
        <w:t>供应商：（盖单位章）</w:t>
      </w:r>
    </w:p>
    <w:p>
      <w:pPr>
        <w:spacing w:line="500" w:lineRule="exact"/>
        <w:rPr>
          <w:rFonts w:hint="eastAsia" w:ascii="宋体" w:hAnsi="宋体" w:eastAsia="宋体" w:cs="宋体"/>
          <w:sz w:val="24"/>
        </w:rPr>
      </w:pPr>
      <w:r>
        <w:rPr>
          <w:rFonts w:hint="eastAsia" w:ascii="宋体" w:hAnsi="宋体" w:eastAsia="宋体" w:cs="宋体"/>
          <w:sz w:val="24"/>
        </w:rPr>
        <w:t>法定代表人：（签字或盖章）</w:t>
      </w:r>
    </w:p>
    <w:p>
      <w:pPr>
        <w:spacing w:line="500" w:lineRule="exact"/>
        <w:rPr>
          <w:rFonts w:hint="eastAsia" w:ascii="宋体" w:hAnsi="宋体" w:eastAsia="宋体" w:cs="宋体"/>
          <w:sz w:val="24"/>
        </w:rPr>
      </w:pPr>
      <w:r>
        <w:rPr>
          <w:rFonts w:hint="eastAsia" w:ascii="宋体" w:hAnsi="宋体" w:eastAsia="宋体" w:cs="宋体"/>
          <w:sz w:val="24"/>
        </w:rPr>
        <w:t>年 月 日</w:t>
      </w:r>
    </w:p>
    <w:p>
      <w:pPr>
        <w:spacing w:line="480" w:lineRule="exact"/>
        <w:ind w:firstLine="482" w:firstLineChars="200"/>
        <w:rPr>
          <w:rFonts w:hint="eastAsia" w:ascii="宋体" w:hAnsi="宋体" w:eastAsia="宋体" w:cs="宋体"/>
          <w:sz w:val="24"/>
        </w:rPr>
      </w:pPr>
    </w:p>
    <w:p>
      <w:pPr>
        <w:spacing w:line="600" w:lineRule="exact"/>
        <w:jc w:val="center"/>
        <w:rPr>
          <w:rFonts w:hint="eastAsia" w:ascii="宋体" w:hAnsi="宋体" w:eastAsia="宋体" w:cs="宋体"/>
          <w:b/>
          <w:bCs/>
          <w:sz w:val="28"/>
          <w:szCs w:val="28"/>
        </w:rPr>
      </w:pPr>
    </w:p>
    <w:p>
      <w:pPr>
        <w:spacing w:line="600" w:lineRule="exact"/>
        <w:rPr>
          <w:rFonts w:hint="eastAsia" w:ascii="宋体" w:hAnsi="宋体" w:eastAsia="宋体" w:cs="宋体"/>
          <w:b/>
          <w:bCs/>
          <w:sz w:val="28"/>
          <w:szCs w:val="28"/>
        </w:rPr>
      </w:pPr>
    </w:p>
    <w:p>
      <w:pPr>
        <w:spacing w:line="600" w:lineRule="exact"/>
        <w:jc w:val="center"/>
        <w:rPr>
          <w:rFonts w:hint="eastAsia" w:ascii="宋体" w:hAnsi="宋体" w:eastAsia="宋体" w:cs="宋体"/>
          <w:b/>
          <w:bCs/>
          <w:sz w:val="28"/>
          <w:szCs w:val="28"/>
        </w:rPr>
      </w:pPr>
    </w:p>
    <w:p>
      <w:pPr>
        <w:spacing w:line="600" w:lineRule="exact"/>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pPr>
        <w:jc w:val="right"/>
        <w:rPr>
          <w:rFonts w:hint="eastAsia" w:ascii="宋体" w:hAnsi="宋体" w:eastAsia="宋体" w:cs="宋体"/>
          <w:szCs w:val="21"/>
        </w:rPr>
      </w:pPr>
    </w:p>
    <w:p>
      <w:pPr>
        <w:spacing w:line="470" w:lineRule="exact"/>
        <w:ind w:firstLine="482" w:firstLineChars="200"/>
        <w:rPr>
          <w:rFonts w:hint="eastAsia" w:ascii="宋体" w:hAnsi="宋体" w:eastAsia="宋体" w:cs="宋体"/>
          <w:sz w:val="24"/>
        </w:rPr>
      </w:pPr>
      <w:r>
        <w:rPr>
          <w:rFonts w:hint="eastAsia" w:ascii="宋体" w:hAnsi="宋体" w:eastAsia="宋体" w:cs="宋体"/>
          <w:sz w:val="24"/>
        </w:rPr>
        <w:t>本人_______（姓名）系__________（供应商名称）的法定代表人，现委托________（姓名）为我方代理人。代理人根据授权，以我方名义签署、澄清、说明、补正、递交、撤回、修改___________（项目名称、</w:t>
      </w:r>
      <w:r>
        <w:rPr>
          <w:rFonts w:hint="eastAsia" w:ascii="宋体" w:hAnsi="宋体" w:eastAsia="宋体" w:cs="宋体"/>
          <w:sz w:val="24"/>
          <w:lang w:val="en-US" w:eastAsia="zh-CN"/>
        </w:rPr>
        <w:t>项目编号</w:t>
      </w:r>
      <w:r>
        <w:rPr>
          <w:rFonts w:hint="eastAsia" w:ascii="宋体" w:hAnsi="宋体" w:eastAsia="宋体" w:cs="宋体"/>
          <w:sz w:val="24"/>
        </w:rPr>
        <w:t>）签订合同和处理有关事宜，其法律后果由我方承担。</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委托期限：_____________</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 xml:space="preserve">代理人无转委托权。 </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附：法定代表人、委托人身份证复印件</w:t>
      </w:r>
    </w:p>
    <w:p>
      <w:pPr>
        <w:spacing w:line="600" w:lineRule="exact"/>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供  应  商：</w:t>
      </w:r>
      <w:r>
        <w:rPr>
          <w:rFonts w:hint="eastAsia" w:ascii="宋体" w:hAnsi="宋体" w:eastAsia="宋体" w:cs="宋体"/>
          <w:sz w:val="24"/>
          <w:lang w:val="en-US" w:eastAsia="zh-CN"/>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val="en-US" w:eastAsia="zh-CN"/>
        </w:rPr>
        <w:t xml:space="preserve">    </w:t>
      </w:r>
      <w:r>
        <w:rPr>
          <w:rFonts w:hint="eastAsia" w:ascii="宋体" w:hAnsi="宋体" w:eastAsia="宋体" w:cs="宋体"/>
          <w:sz w:val="24"/>
        </w:rPr>
        <w:t>（签字</w:t>
      </w:r>
      <w:r>
        <w:rPr>
          <w:rFonts w:hint="eastAsia" w:ascii="宋体" w:hAnsi="宋体" w:eastAsia="宋体" w:cs="宋体"/>
          <w:sz w:val="24"/>
          <w:lang w:val="en-US" w:eastAsia="zh-CN"/>
        </w:rPr>
        <w:t>或盖章</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身份证号码：</w:t>
      </w:r>
    </w:p>
    <w:p>
      <w:pPr>
        <w:spacing w:line="360" w:lineRule="auto"/>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身份证号码：</w:t>
      </w:r>
    </w:p>
    <w:p>
      <w:pPr>
        <w:spacing w:line="360" w:lineRule="auto"/>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rPr>
          <w:rFonts w:hint="eastAsia" w:ascii="宋体" w:hAnsi="宋体" w:eastAsia="宋体" w:cs="宋体"/>
        </w:rPr>
      </w:pPr>
      <w:bookmarkStart w:id="222" w:name="_Toc31646_WPSOffice_Level1"/>
      <w:bookmarkStart w:id="223" w:name="_Toc27732_WPSOffice_Level1"/>
      <w:bookmarkStart w:id="224" w:name="_Toc493842417"/>
      <w:bookmarkStart w:id="225" w:name="_Toc7578_WPSOffice_Level1"/>
      <w:bookmarkStart w:id="226" w:name="_Toc11233_WPSOffice_Level1"/>
      <w:bookmarkStart w:id="227" w:name="_Toc29747_WPSOffice_Level1"/>
      <w:bookmarkStart w:id="228" w:name="_Toc9949_WPSOffice_Level1"/>
      <w:bookmarkStart w:id="229" w:name="_Toc11466"/>
      <w:bookmarkStart w:id="230" w:name="_Toc469342443"/>
      <w:bookmarkStart w:id="231" w:name="_Toc27290_WPSOffice_Level1"/>
      <w:r>
        <w:rPr>
          <w:rFonts w:hint="eastAsia" w:ascii="宋体" w:hAnsi="宋体" w:eastAsia="宋体" w:cs="宋体"/>
        </w:rPr>
        <w:br w:type="page"/>
      </w:r>
    </w:p>
    <w:p>
      <w:pPr>
        <w:pStyle w:val="7"/>
        <w:numPr>
          <w:ilvl w:val="0"/>
          <w:numId w:val="0"/>
        </w:numPr>
        <w:spacing w:line="600" w:lineRule="exact"/>
        <w:jc w:val="center"/>
        <w:rPr>
          <w:rFonts w:hint="eastAsia" w:ascii="宋体" w:hAnsi="宋体" w:eastAsia="宋体" w:cs="宋体"/>
          <w:sz w:val="30"/>
          <w:szCs w:val="30"/>
          <w:lang w:val="en-US" w:eastAsia="zh-CN"/>
        </w:rPr>
      </w:pPr>
      <w:r>
        <w:rPr>
          <w:rFonts w:hint="eastAsia" w:cs="宋体"/>
          <w:sz w:val="30"/>
          <w:szCs w:val="30"/>
          <w:lang w:val="en-US" w:eastAsia="zh-CN"/>
        </w:rPr>
        <w:t>四、</w:t>
      </w:r>
      <w:r>
        <w:rPr>
          <w:rFonts w:hint="eastAsia" w:ascii="宋体" w:hAnsi="宋体" w:eastAsia="宋体" w:cs="宋体"/>
          <w:sz w:val="30"/>
          <w:szCs w:val="30"/>
          <w:lang w:val="en-US" w:eastAsia="zh-CN"/>
        </w:rPr>
        <w:t>报价明细表</w:t>
      </w:r>
    </w:p>
    <w:p>
      <w:pPr>
        <w:numPr>
          <w:ilvl w:val="0"/>
          <w:numId w:val="0"/>
        </w:num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（格式自拟）</w:t>
      </w:r>
    </w:p>
    <w:p>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pPr>
        <w:pStyle w:val="13"/>
        <w:jc w:val="center"/>
        <w:rPr>
          <w:rFonts w:hint="eastAsia" w:ascii="宋体" w:hAnsi="宋体" w:eastAsia="宋体" w:cs="宋体"/>
          <w:sz w:val="30"/>
          <w:szCs w:val="30"/>
        </w:rPr>
      </w:pPr>
      <w:r>
        <w:rPr>
          <w:rFonts w:hint="eastAsia" w:ascii="宋体" w:hAnsi="宋体" w:eastAsia="宋体" w:cs="宋体"/>
          <w:b/>
          <w:kern w:val="2"/>
          <w:sz w:val="30"/>
          <w:szCs w:val="30"/>
          <w:lang w:val="en-US" w:eastAsia="zh-CN" w:bidi="ar-SA"/>
        </w:rPr>
        <w:t>五、</w:t>
      </w:r>
      <w:bookmarkStart w:id="232" w:name="_Toc11812"/>
      <w:bookmarkStart w:id="233" w:name="_Toc13659"/>
      <w:bookmarkStart w:id="234" w:name="_Toc26049"/>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"_Toc367286158"</w:instrText>
      </w:r>
      <w:r>
        <w:rPr>
          <w:rFonts w:hint="eastAsia" w:ascii="宋体" w:hAnsi="宋体" w:eastAsia="宋体" w:cs="宋体"/>
          <w:sz w:val="30"/>
          <w:szCs w:val="30"/>
        </w:rPr>
        <w:fldChar w:fldCharType="separate"/>
      </w:r>
      <w:r>
        <w:rPr>
          <w:rFonts w:hint="eastAsia" w:ascii="宋体" w:hAnsi="宋体" w:eastAsia="宋体" w:cs="宋体"/>
          <w:sz w:val="30"/>
          <w:szCs w:val="30"/>
        </w:rPr>
        <w:t>资格审查</w:t>
      </w:r>
      <w:r>
        <w:rPr>
          <w:rFonts w:hint="eastAsia" w:ascii="宋体" w:hAnsi="宋体" w:eastAsia="宋体" w:cs="宋体"/>
          <w:sz w:val="30"/>
          <w:szCs w:val="30"/>
        </w:rPr>
        <w:fldChar w:fldCharType="end"/>
      </w:r>
      <w:r>
        <w:rPr>
          <w:rFonts w:hint="eastAsia" w:ascii="宋体" w:hAnsi="宋体" w:eastAsia="宋体" w:cs="宋体"/>
          <w:sz w:val="30"/>
          <w:szCs w:val="30"/>
        </w:rPr>
        <w:t>资料</w:t>
      </w:r>
      <w:bookmarkEnd w:id="232"/>
      <w:bookmarkEnd w:id="233"/>
      <w:bookmarkEnd w:id="234"/>
    </w:p>
    <w:p>
      <w:pPr>
        <w:tabs>
          <w:tab w:val="left" w:pos="1507"/>
        </w:tabs>
        <w:spacing w:line="360" w:lineRule="auto"/>
        <w:rPr>
          <w:rFonts w:hint="eastAsia" w:ascii="宋体" w:hAnsi="宋体" w:eastAsia="宋体" w:cs="宋体"/>
        </w:rPr>
      </w:pPr>
      <w:r>
        <w:rPr>
          <w:rFonts w:hint="eastAsia" w:ascii="宋体" w:hAnsi="宋体" w:eastAsia="宋体" w:cs="宋体"/>
          <w:b/>
          <w:sz w:val="22"/>
          <w:szCs w:val="22"/>
        </w:rPr>
        <w:t>（1）供应商基本情况表</w:t>
      </w:r>
    </w:p>
    <w:tbl>
      <w:tblPr>
        <w:tblStyle w:val="22"/>
        <w:tblW w:w="91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070"/>
        <w:gridCol w:w="1583"/>
        <w:gridCol w:w="1320"/>
        <w:gridCol w:w="1388"/>
        <w:gridCol w:w="896"/>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供应商名称</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注册地址</w:t>
            </w:r>
          </w:p>
        </w:tc>
        <w:tc>
          <w:tcPr>
            <w:tcW w:w="3973"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联系方式</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联系人</w:t>
            </w:r>
          </w:p>
        </w:tc>
        <w:tc>
          <w:tcPr>
            <w:tcW w:w="290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电话</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传真</w:t>
            </w:r>
          </w:p>
        </w:tc>
        <w:tc>
          <w:tcPr>
            <w:tcW w:w="290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网址</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组织结构</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法定代表人</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姓名</w:t>
            </w:r>
          </w:p>
        </w:tc>
        <w:tc>
          <w:tcPr>
            <w:tcW w:w="1583"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技术职称</w:t>
            </w: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896"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rPr>
            </w:pPr>
            <w:r>
              <w:rPr>
                <w:rFonts w:hint="eastAsia" w:ascii="宋体" w:hAnsi="宋体" w:eastAsia="宋体" w:cs="宋体"/>
                <w:sz w:val="24"/>
              </w:rPr>
              <w:t>电话</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技术负责人</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姓名</w:t>
            </w:r>
          </w:p>
        </w:tc>
        <w:tc>
          <w:tcPr>
            <w:tcW w:w="1583"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技术职称</w:t>
            </w: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896"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电话</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成立时间</w:t>
            </w:r>
          </w:p>
        </w:tc>
        <w:tc>
          <w:tcPr>
            <w:tcW w:w="265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4985"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经营范围</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备注</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bl>
    <w:p>
      <w:pPr>
        <w:spacing w:line="360" w:lineRule="auto"/>
        <w:rPr>
          <w:rFonts w:hint="eastAsia" w:ascii="宋体" w:hAnsi="宋体" w:eastAsia="宋体" w:cs="宋体"/>
        </w:rPr>
      </w:pPr>
      <w:r>
        <w:rPr>
          <w:rFonts w:hint="eastAsia" w:ascii="宋体" w:hAnsi="宋体" w:eastAsia="宋体" w:cs="宋体"/>
        </w:rPr>
        <w:t>注：此表后附资格审查等相关资料。</w:t>
      </w:r>
    </w:p>
    <w:p>
      <w:pPr>
        <w:spacing w:line="360" w:lineRule="auto"/>
        <w:rPr>
          <w:rFonts w:hint="eastAsia" w:ascii="宋体" w:hAnsi="宋体" w:eastAsia="宋体" w:cs="宋体"/>
        </w:rPr>
      </w:pPr>
    </w:p>
    <w:p>
      <w:pPr>
        <w:pStyle w:val="7"/>
        <w:spacing w:line="600" w:lineRule="exact"/>
        <w:jc w:val="center"/>
        <w:rPr>
          <w:rFonts w:hint="eastAsia" w:ascii="宋体" w:hAnsi="宋体" w:eastAsia="宋体" w:cs="宋体"/>
          <w:sz w:val="30"/>
          <w:szCs w:val="30"/>
          <w:highlight w:val="yellow"/>
        </w:rPr>
      </w:pPr>
      <w:r>
        <w:rPr>
          <w:rFonts w:hint="eastAsia" w:ascii="宋体" w:hAnsi="宋体" w:eastAsia="宋体" w:cs="宋体"/>
          <w:sz w:val="30"/>
          <w:szCs w:val="30"/>
        </w:rPr>
        <w:br w:type="page"/>
      </w:r>
      <w:bookmarkStart w:id="235" w:name="_Toc13715"/>
    </w:p>
    <w:bookmarkEnd w:id="235"/>
    <w:p>
      <w:pPr>
        <w:tabs>
          <w:tab w:val="left" w:pos="1507"/>
        </w:tabs>
        <w:spacing w:line="360" w:lineRule="auto"/>
        <w:rPr>
          <w:rFonts w:hint="eastAsia" w:ascii="宋体" w:hAnsi="宋体" w:eastAsia="宋体" w:cs="宋体"/>
          <w:sz w:val="24"/>
          <w:lang w:val="zh-CN"/>
        </w:rPr>
      </w:pPr>
      <w:r>
        <w:rPr>
          <w:rFonts w:hint="eastAsia" w:ascii="宋体" w:hAnsi="宋体" w:eastAsia="宋体" w:cs="宋体"/>
          <w:b/>
          <w:sz w:val="22"/>
          <w:szCs w:val="22"/>
          <w:lang w:val="zh-CN"/>
        </w:rPr>
        <w:t>（</w:t>
      </w:r>
      <w:r>
        <w:rPr>
          <w:rFonts w:hint="eastAsia" w:ascii="宋体" w:hAnsi="宋体" w:eastAsia="宋体" w:cs="宋体"/>
          <w:b/>
          <w:sz w:val="22"/>
          <w:szCs w:val="22"/>
        </w:rPr>
        <w:t>2</w:t>
      </w:r>
      <w:r>
        <w:rPr>
          <w:rFonts w:hint="eastAsia" w:ascii="宋体" w:hAnsi="宋体" w:eastAsia="宋体" w:cs="宋体"/>
          <w:b/>
          <w:sz w:val="22"/>
          <w:szCs w:val="22"/>
          <w:lang w:val="zh-CN"/>
        </w:rPr>
        <w:t>）项目主要实施人员技术资格一览表</w:t>
      </w:r>
    </w:p>
    <w:p>
      <w:pPr>
        <w:spacing w:line="360" w:lineRule="auto"/>
        <w:ind w:firstLine="241" w:firstLineChars="100"/>
        <w:rPr>
          <w:rFonts w:hint="eastAsia" w:ascii="宋体" w:hAnsi="宋体" w:eastAsia="宋体" w:cs="宋体"/>
          <w:sz w:val="24"/>
          <w:lang w:val="zh-CN"/>
        </w:rPr>
      </w:pPr>
      <w:r>
        <w:rPr>
          <w:rFonts w:hint="eastAsia" w:ascii="宋体" w:hAnsi="宋体" w:eastAsia="宋体" w:cs="宋体"/>
          <w:sz w:val="24"/>
          <w:lang w:val="zh-CN"/>
        </w:rPr>
        <w:t xml:space="preserve">项目名称：                               </w:t>
      </w:r>
    </w:p>
    <w:tbl>
      <w:tblPr>
        <w:tblStyle w:val="22"/>
        <w:tblW w:w="0" w:type="auto"/>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1407"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姓  名</w:t>
            </w:r>
          </w:p>
        </w:tc>
        <w:tc>
          <w:tcPr>
            <w:tcW w:w="2004"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职务</w:t>
            </w:r>
          </w:p>
        </w:tc>
        <w:tc>
          <w:tcPr>
            <w:tcW w:w="155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专业技术资格</w:t>
            </w:r>
          </w:p>
        </w:tc>
        <w:tc>
          <w:tcPr>
            <w:tcW w:w="1984"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eastAsia="zh-CN"/>
              </w:rPr>
            </w:pPr>
            <w:r>
              <w:rPr>
                <w:rFonts w:hint="eastAsia" w:ascii="宋体" w:hAnsi="宋体" w:eastAsia="宋体" w:cs="宋体"/>
                <w:sz w:val="24"/>
                <w:lang w:val="zh-CN"/>
              </w:rPr>
              <w:t>证书编号</w:t>
            </w:r>
          </w:p>
        </w:tc>
        <w:tc>
          <w:tcPr>
            <w:tcW w:w="12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en-US" w:eastAsia="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bl>
    <w:p>
      <w:pPr>
        <w:spacing w:line="360" w:lineRule="auto"/>
        <w:rPr>
          <w:rFonts w:hint="eastAsia" w:ascii="宋体" w:hAnsi="宋体" w:eastAsia="宋体" w:cs="宋体"/>
          <w:sz w:val="24"/>
          <w:lang w:val="zh-CN"/>
        </w:rPr>
      </w:pPr>
      <w:r>
        <w:rPr>
          <w:rFonts w:hint="eastAsia" w:ascii="宋体" w:hAnsi="宋体" w:eastAsia="宋体" w:cs="宋体"/>
          <w:sz w:val="24"/>
          <w:lang w:val="zh-CN"/>
        </w:rPr>
        <w:t>注：（1）请供应商根据实际情况填写上表。</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（2）供应商如需说明其他相关情况，可对本表进行扩展 </w:t>
      </w: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rPr>
      </w:pPr>
      <w:r>
        <w:rPr>
          <w:rFonts w:hint="eastAsia" w:ascii="宋体" w:hAnsi="宋体" w:eastAsia="宋体" w:cs="宋体"/>
          <w:sz w:val="24"/>
          <w:lang w:val="zh-CN"/>
        </w:rPr>
        <w:t>日期：年月日</w:t>
      </w:r>
    </w:p>
    <w:p>
      <w:pPr>
        <w:pStyle w:val="13"/>
        <w:rPr>
          <w:rFonts w:hint="eastAsia" w:ascii="宋体" w:hAnsi="宋体" w:eastAsia="宋体" w:cs="宋体"/>
          <w:sz w:val="36"/>
          <w:szCs w:val="36"/>
        </w:rPr>
      </w:pPr>
    </w:p>
    <w:p>
      <w:pPr>
        <w:ind w:left="0" w:leftChars="0" w:firstLine="0" w:firstLineChars="0"/>
        <w:rPr>
          <w:rFonts w:hint="eastAsia" w:ascii="宋体" w:hAnsi="宋体" w:eastAsia="宋体" w:cs="宋体"/>
          <w:b/>
          <w:sz w:val="22"/>
          <w:szCs w:val="22"/>
          <w:lang w:val="zh-CN"/>
        </w:rPr>
      </w:pPr>
      <w:bookmarkStart w:id="236" w:name="_Toc19870"/>
      <w:bookmarkStart w:id="237" w:name="_Toc31115"/>
      <w:bookmarkStart w:id="238" w:name="_Toc12278"/>
      <w:r>
        <w:rPr>
          <w:rFonts w:hint="eastAsia" w:ascii="宋体" w:hAnsi="宋体" w:eastAsia="宋体" w:cs="宋体"/>
          <w:b/>
          <w:sz w:val="22"/>
          <w:szCs w:val="22"/>
          <w:lang w:val="zh-CN"/>
        </w:rPr>
        <w:br w:type="page"/>
      </w:r>
    </w:p>
    <w:p>
      <w:pPr>
        <w:spacing w:line="360" w:lineRule="auto"/>
        <w:ind w:firstLine="221" w:firstLineChars="100"/>
        <w:rPr>
          <w:rFonts w:hint="default" w:ascii="宋体" w:hAnsi="宋体" w:eastAsia="宋体" w:cs="宋体"/>
          <w:b/>
          <w:sz w:val="24"/>
          <w:szCs w:val="24"/>
          <w:lang w:val="en-US" w:eastAsia="zh-CN"/>
        </w:rPr>
      </w:pPr>
      <w:r>
        <w:rPr>
          <w:rFonts w:hint="eastAsia" w:ascii="宋体" w:hAnsi="宋体" w:eastAsia="宋体" w:cs="宋体"/>
          <w:b/>
          <w:sz w:val="22"/>
          <w:szCs w:val="22"/>
          <w:lang w:val="zh-CN"/>
        </w:rPr>
        <w:t>（</w:t>
      </w:r>
      <w:r>
        <w:rPr>
          <w:rFonts w:hint="eastAsia" w:cs="宋体"/>
          <w:b/>
          <w:sz w:val="22"/>
          <w:szCs w:val="22"/>
          <w:lang w:val="en-US" w:eastAsia="zh-CN"/>
        </w:rPr>
        <w:t>3</w:t>
      </w:r>
      <w:r>
        <w:rPr>
          <w:rFonts w:hint="eastAsia" w:ascii="宋体" w:hAnsi="宋体" w:eastAsia="宋体" w:cs="宋体"/>
          <w:b/>
          <w:sz w:val="22"/>
          <w:szCs w:val="22"/>
          <w:lang w:val="zh-CN"/>
        </w:rPr>
        <w:t>）</w:t>
      </w:r>
      <w:r>
        <w:rPr>
          <w:rFonts w:hint="eastAsia" w:cs="宋体"/>
          <w:b/>
          <w:sz w:val="24"/>
          <w:szCs w:val="24"/>
          <w:lang w:val="en-US" w:eastAsia="zh-CN"/>
        </w:rPr>
        <w:t>近三年同类项目业绩一览表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166"/>
        <w:gridCol w:w="1356"/>
        <w:gridCol w:w="1033"/>
        <w:gridCol w:w="116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1" w:type="dxa"/>
            <w:noWrap w:val="0"/>
            <w:vAlign w:val="center"/>
          </w:tcPr>
          <w:p>
            <w:pPr>
              <w:pStyle w:val="4"/>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166" w:type="dxa"/>
            <w:noWrap w:val="0"/>
            <w:vAlign w:val="center"/>
          </w:tcPr>
          <w:p>
            <w:pPr>
              <w:pStyle w:val="4"/>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356" w:type="dxa"/>
            <w:noWrap w:val="0"/>
            <w:vAlign w:val="center"/>
          </w:tcPr>
          <w:p>
            <w:pPr>
              <w:pStyle w:val="4"/>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签订时间</w:t>
            </w:r>
          </w:p>
        </w:tc>
        <w:tc>
          <w:tcPr>
            <w:tcW w:w="1033" w:type="dxa"/>
            <w:noWrap w:val="0"/>
            <w:vAlign w:val="center"/>
          </w:tcPr>
          <w:p>
            <w:pPr>
              <w:pStyle w:val="4"/>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金额</w:t>
            </w:r>
          </w:p>
        </w:tc>
        <w:tc>
          <w:tcPr>
            <w:tcW w:w="1169" w:type="dxa"/>
            <w:noWrap w:val="0"/>
            <w:vAlign w:val="center"/>
          </w:tcPr>
          <w:p>
            <w:pPr>
              <w:pStyle w:val="4"/>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采购人</w:t>
            </w:r>
          </w:p>
        </w:tc>
        <w:tc>
          <w:tcPr>
            <w:tcW w:w="1703" w:type="dxa"/>
            <w:noWrap w:val="0"/>
            <w:vAlign w:val="center"/>
          </w:tcPr>
          <w:p>
            <w:pPr>
              <w:pStyle w:val="4"/>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31" w:type="dxa"/>
            <w:noWrap w:val="0"/>
            <w:vAlign w:val="top"/>
          </w:tcPr>
          <w:p>
            <w:pPr>
              <w:pStyle w:val="4"/>
              <w:ind w:firstLine="0" w:firstLineChars="0"/>
              <w:rPr>
                <w:rFonts w:hint="eastAsia" w:ascii="宋体" w:hAnsi="宋体" w:eastAsia="宋体" w:cs="宋体"/>
                <w:szCs w:val="21"/>
              </w:rPr>
            </w:pPr>
          </w:p>
        </w:tc>
        <w:tc>
          <w:tcPr>
            <w:tcW w:w="2166" w:type="dxa"/>
            <w:noWrap w:val="0"/>
            <w:vAlign w:val="top"/>
          </w:tcPr>
          <w:p>
            <w:pPr>
              <w:pStyle w:val="4"/>
              <w:ind w:firstLine="0" w:firstLineChars="0"/>
              <w:rPr>
                <w:rFonts w:hint="eastAsia" w:ascii="宋体" w:hAnsi="宋体" w:eastAsia="宋体" w:cs="宋体"/>
                <w:szCs w:val="21"/>
              </w:rPr>
            </w:pPr>
          </w:p>
        </w:tc>
        <w:tc>
          <w:tcPr>
            <w:tcW w:w="1356" w:type="dxa"/>
            <w:noWrap w:val="0"/>
            <w:vAlign w:val="top"/>
          </w:tcPr>
          <w:p>
            <w:pPr>
              <w:pStyle w:val="4"/>
              <w:ind w:firstLine="0" w:firstLineChars="0"/>
              <w:rPr>
                <w:rFonts w:hint="eastAsia" w:ascii="宋体" w:hAnsi="宋体" w:eastAsia="宋体" w:cs="宋体"/>
                <w:szCs w:val="21"/>
              </w:rPr>
            </w:pPr>
          </w:p>
        </w:tc>
        <w:tc>
          <w:tcPr>
            <w:tcW w:w="1033" w:type="dxa"/>
            <w:noWrap w:val="0"/>
            <w:vAlign w:val="top"/>
          </w:tcPr>
          <w:p>
            <w:pPr>
              <w:pStyle w:val="4"/>
              <w:ind w:firstLine="0" w:firstLineChars="0"/>
              <w:rPr>
                <w:rFonts w:hint="eastAsia" w:ascii="宋体" w:hAnsi="宋体" w:eastAsia="宋体" w:cs="宋体"/>
                <w:szCs w:val="21"/>
              </w:rPr>
            </w:pPr>
          </w:p>
        </w:tc>
        <w:tc>
          <w:tcPr>
            <w:tcW w:w="1169" w:type="dxa"/>
            <w:noWrap w:val="0"/>
            <w:vAlign w:val="top"/>
          </w:tcPr>
          <w:p>
            <w:pPr>
              <w:pStyle w:val="4"/>
              <w:ind w:firstLine="0" w:firstLineChars="0"/>
              <w:rPr>
                <w:rFonts w:hint="eastAsia" w:ascii="宋体" w:hAnsi="宋体" w:eastAsia="宋体" w:cs="宋体"/>
                <w:szCs w:val="21"/>
              </w:rPr>
            </w:pPr>
          </w:p>
        </w:tc>
        <w:tc>
          <w:tcPr>
            <w:tcW w:w="1703" w:type="dxa"/>
            <w:noWrap w:val="0"/>
            <w:vAlign w:val="top"/>
          </w:tcPr>
          <w:p>
            <w:pPr>
              <w:pStyle w:val="4"/>
              <w:ind w:firstLine="0" w:firstLineChars="0"/>
              <w:rPr>
                <w:rFonts w:hint="eastAsia" w:ascii="宋体" w:hAnsi="宋体" w:eastAsia="宋体" w:cs="宋体"/>
                <w:szCs w:val="21"/>
              </w:rPr>
            </w:pPr>
          </w:p>
        </w:tc>
      </w:tr>
    </w:tbl>
    <w:p>
      <w:pPr>
        <w:spacing w:line="360" w:lineRule="auto"/>
        <w:ind w:firstLine="241" w:firstLineChars="100"/>
        <w:rPr>
          <w:rFonts w:hint="eastAsia" w:ascii="宋体" w:hAnsi="宋体" w:eastAsia="宋体" w:cs="宋体"/>
          <w:sz w:val="24"/>
          <w:lang w:val="zh-CN"/>
        </w:rPr>
      </w:pPr>
      <w:r>
        <w:rPr>
          <w:rFonts w:hint="eastAsia" w:ascii="宋体" w:hAnsi="宋体" w:eastAsia="宋体" w:cs="宋体"/>
          <w:sz w:val="24"/>
          <w:lang w:val="zh-CN"/>
        </w:rPr>
        <w:t>注：此表可以按相同格式扩展，仅限于国内近三年的同类业绩。</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u w:val="single"/>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lang w:val="zh-CN"/>
        </w:rPr>
      </w:pPr>
      <w:r>
        <w:rPr>
          <w:rFonts w:hint="eastAsia" w:ascii="宋体" w:hAnsi="宋体" w:eastAsia="宋体" w:cs="宋体"/>
          <w:sz w:val="24"/>
          <w:lang w:val="zh-CN"/>
        </w:rPr>
        <w:t>日期：年月日</w:t>
      </w:r>
    </w:p>
    <w:p>
      <w:pPr>
        <w:rPr>
          <w:rFonts w:hint="eastAsia" w:ascii="宋体" w:hAnsi="宋体" w:eastAsia="宋体" w:cs="宋体"/>
          <w:sz w:val="24"/>
          <w:lang w:val="zh-CN"/>
        </w:rPr>
      </w:pPr>
      <w:r>
        <w:rPr>
          <w:rFonts w:hint="eastAsia" w:ascii="宋体" w:hAnsi="宋体" w:eastAsia="宋体" w:cs="宋体"/>
          <w:sz w:val="24"/>
          <w:lang w:val="zh-CN"/>
        </w:rPr>
        <w:br w:type="page"/>
      </w:r>
    </w:p>
    <w:p>
      <w:pPr>
        <w:pStyle w:val="13"/>
        <w:numPr>
          <w:ilvl w:val="0"/>
          <w:numId w:val="30"/>
        </w:numPr>
        <w:jc w:val="center"/>
        <w:outlineLvl w:val="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商务偏离表</w:t>
      </w:r>
    </w:p>
    <w:tbl>
      <w:tblPr>
        <w:tblStyle w:val="2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213"/>
        <w:gridCol w:w="2250"/>
        <w:gridCol w:w="2060"/>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Merge w:val="restart"/>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序号</w:t>
            </w:r>
          </w:p>
        </w:tc>
        <w:tc>
          <w:tcPr>
            <w:tcW w:w="4463" w:type="dxa"/>
            <w:gridSpan w:val="2"/>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采购文件条款</w:t>
            </w:r>
          </w:p>
        </w:tc>
        <w:tc>
          <w:tcPr>
            <w:tcW w:w="3874" w:type="dxa"/>
            <w:gridSpan w:val="2"/>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响应文件条款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Merge w:val="continue"/>
            <w:vAlign w:val="center"/>
          </w:tcPr>
          <w:p>
            <w:pPr>
              <w:pStyle w:val="12"/>
              <w:numPr>
                <w:ilvl w:val="0"/>
                <w:numId w:val="0"/>
              </w:numPr>
              <w:jc w:val="center"/>
              <w:rPr>
                <w:rFonts w:hint="default"/>
                <w:vertAlign w:val="baseline"/>
                <w:lang w:val="en-US" w:eastAsia="zh-CN"/>
              </w:rPr>
            </w:pPr>
          </w:p>
        </w:tc>
        <w:tc>
          <w:tcPr>
            <w:tcW w:w="221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条款号</w:t>
            </w:r>
          </w:p>
        </w:tc>
        <w:tc>
          <w:tcPr>
            <w:tcW w:w="2250"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条款内容</w:t>
            </w:r>
          </w:p>
        </w:tc>
        <w:tc>
          <w:tcPr>
            <w:tcW w:w="2060" w:type="dxa"/>
            <w:vAlign w:val="center"/>
          </w:tcPr>
          <w:p>
            <w:pPr>
              <w:pStyle w:val="12"/>
              <w:numPr>
                <w:ilvl w:val="0"/>
                <w:numId w:val="0"/>
              </w:numPr>
              <w:ind w:left="0" w:leftChars="0" w:firstLine="0" w:firstLineChars="0"/>
              <w:jc w:val="center"/>
              <w:rPr>
                <w:rFonts w:hint="default"/>
                <w:vertAlign w:val="baseline"/>
                <w:lang w:val="en-US" w:eastAsia="zh-CN"/>
              </w:rPr>
            </w:pPr>
            <w:r>
              <w:rPr>
                <w:rFonts w:hint="eastAsia"/>
                <w:vertAlign w:val="baseline"/>
                <w:lang w:val="en-US" w:eastAsia="zh-CN"/>
              </w:rPr>
              <w:t>条款号</w:t>
            </w:r>
          </w:p>
        </w:tc>
        <w:tc>
          <w:tcPr>
            <w:tcW w:w="1814" w:type="dxa"/>
            <w:vAlign w:val="center"/>
          </w:tcPr>
          <w:p>
            <w:pPr>
              <w:pStyle w:val="12"/>
              <w:numPr>
                <w:ilvl w:val="0"/>
                <w:numId w:val="0"/>
              </w:numPr>
              <w:ind w:left="0" w:leftChars="0" w:firstLine="0" w:firstLineChars="0"/>
              <w:jc w:val="center"/>
              <w:rPr>
                <w:rFonts w:hint="default"/>
                <w:vertAlign w:val="baseline"/>
                <w:lang w:val="en-US" w:eastAsia="zh-CN"/>
              </w:rPr>
            </w:pPr>
            <w:r>
              <w:rPr>
                <w:rFonts w:hint="eastAsia"/>
                <w:vertAlign w:val="baseline"/>
                <w:lang w:val="en-US" w:eastAsia="zh-CN"/>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1</w:t>
            </w:r>
          </w:p>
        </w:tc>
        <w:tc>
          <w:tcPr>
            <w:tcW w:w="2213" w:type="dxa"/>
            <w:vAlign w:val="center"/>
          </w:tcPr>
          <w:p>
            <w:pPr>
              <w:pStyle w:val="12"/>
              <w:numPr>
                <w:ilvl w:val="0"/>
                <w:numId w:val="0"/>
              </w:numPr>
              <w:jc w:val="center"/>
              <w:rPr>
                <w:rFonts w:hint="default"/>
                <w:vertAlign w:val="baseline"/>
                <w:lang w:val="en-US" w:eastAsia="zh-CN"/>
              </w:rPr>
            </w:pPr>
          </w:p>
        </w:tc>
        <w:tc>
          <w:tcPr>
            <w:tcW w:w="2250" w:type="dxa"/>
            <w:vAlign w:val="center"/>
          </w:tcPr>
          <w:p>
            <w:pPr>
              <w:pStyle w:val="12"/>
              <w:numPr>
                <w:ilvl w:val="0"/>
                <w:numId w:val="0"/>
              </w:numPr>
              <w:jc w:val="center"/>
              <w:rPr>
                <w:rFonts w:hint="default"/>
                <w:vertAlign w:val="baseline"/>
                <w:lang w:val="en-US" w:eastAsia="zh-CN"/>
              </w:rPr>
            </w:pPr>
          </w:p>
        </w:tc>
        <w:tc>
          <w:tcPr>
            <w:tcW w:w="2060" w:type="dxa"/>
            <w:vAlign w:val="center"/>
          </w:tcPr>
          <w:p>
            <w:pPr>
              <w:pStyle w:val="12"/>
              <w:numPr>
                <w:ilvl w:val="0"/>
                <w:numId w:val="0"/>
              </w:numPr>
              <w:jc w:val="center"/>
              <w:rPr>
                <w:rFonts w:hint="default"/>
                <w:vertAlign w:val="baseline"/>
                <w:lang w:val="en-US" w:eastAsia="zh-CN"/>
              </w:rPr>
            </w:pPr>
          </w:p>
        </w:tc>
        <w:tc>
          <w:tcPr>
            <w:tcW w:w="1814" w:type="dxa"/>
            <w:vAlign w:val="center"/>
          </w:tcPr>
          <w:p>
            <w:pPr>
              <w:pStyle w:val="12"/>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2</w:t>
            </w:r>
          </w:p>
        </w:tc>
        <w:tc>
          <w:tcPr>
            <w:tcW w:w="2213" w:type="dxa"/>
            <w:vAlign w:val="center"/>
          </w:tcPr>
          <w:p>
            <w:pPr>
              <w:pStyle w:val="12"/>
              <w:numPr>
                <w:ilvl w:val="0"/>
                <w:numId w:val="0"/>
              </w:numPr>
              <w:jc w:val="center"/>
              <w:rPr>
                <w:rFonts w:hint="default"/>
                <w:vertAlign w:val="baseline"/>
                <w:lang w:val="en-US" w:eastAsia="zh-CN"/>
              </w:rPr>
            </w:pPr>
          </w:p>
        </w:tc>
        <w:tc>
          <w:tcPr>
            <w:tcW w:w="2250" w:type="dxa"/>
            <w:vAlign w:val="center"/>
          </w:tcPr>
          <w:p>
            <w:pPr>
              <w:pStyle w:val="12"/>
              <w:numPr>
                <w:ilvl w:val="0"/>
                <w:numId w:val="0"/>
              </w:numPr>
              <w:jc w:val="center"/>
              <w:rPr>
                <w:rFonts w:hint="default"/>
                <w:vertAlign w:val="baseline"/>
                <w:lang w:val="en-US" w:eastAsia="zh-CN"/>
              </w:rPr>
            </w:pPr>
          </w:p>
        </w:tc>
        <w:tc>
          <w:tcPr>
            <w:tcW w:w="2060" w:type="dxa"/>
            <w:vAlign w:val="center"/>
          </w:tcPr>
          <w:p>
            <w:pPr>
              <w:pStyle w:val="12"/>
              <w:numPr>
                <w:ilvl w:val="0"/>
                <w:numId w:val="0"/>
              </w:numPr>
              <w:jc w:val="center"/>
              <w:rPr>
                <w:rFonts w:hint="default"/>
                <w:vertAlign w:val="baseline"/>
                <w:lang w:val="en-US" w:eastAsia="zh-CN"/>
              </w:rPr>
            </w:pPr>
          </w:p>
        </w:tc>
        <w:tc>
          <w:tcPr>
            <w:tcW w:w="1814" w:type="dxa"/>
            <w:vAlign w:val="center"/>
          </w:tcPr>
          <w:p>
            <w:pPr>
              <w:pStyle w:val="12"/>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3</w:t>
            </w:r>
          </w:p>
        </w:tc>
        <w:tc>
          <w:tcPr>
            <w:tcW w:w="2213" w:type="dxa"/>
            <w:vAlign w:val="center"/>
          </w:tcPr>
          <w:p>
            <w:pPr>
              <w:pStyle w:val="12"/>
              <w:numPr>
                <w:ilvl w:val="0"/>
                <w:numId w:val="0"/>
              </w:numPr>
              <w:jc w:val="center"/>
              <w:rPr>
                <w:rFonts w:hint="default"/>
                <w:vertAlign w:val="baseline"/>
                <w:lang w:val="en-US" w:eastAsia="zh-CN"/>
              </w:rPr>
            </w:pPr>
          </w:p>
        </w:tc>
        <w:tc>
          <w:tcPr>
            <w:tcW w:w="2250" w:type="dxa"/>
            <w:vAlign w:val="center"/>
          </w:tcPr>
          <w:p>
            <w:pPr>
              <w:pStyle w:val="12"/>
              <w:numPr>
                <w:ilvl w:val="0"/>
                <w:numId w:val="0"/>
              </w:numPr>
              <w:jc w:val="center"/>
              <w:rPr>
                <w:rFonts w:hint="default"/>
                <w:vertAlign w:val="baseline"/>
                <w:lang w:val="en-US" w:eastAsia="zh-CN"/>
              </w:rPr>
            </w:pPr>
          </w:p>
        </w:tc>
        <w:tc>
          <w:tcPr>
            <w:tcW w:w="2060" w:type="dxa"/>
            <w:vAlign w:val="center"/>
          </w:tcPr>
          <w:p>
            <w:pPr>
              <w:pStyle w:val="12"/>
              <w:numPr>
                <w:ilvl w:val="0"/>
                <w:numId w:val="0"/>
              </w:numPr>
              <w:jc w:val="center"/>
              <w:rPr>
                <w:rFonts w:hint="default"/>
                <w:vertAlign w:val="baseline"/>
                <w:lang w:val="en-US" w:eastAsia="zh-CN"/>
              </w:rPr>
            </w:pPr>
          </w:p>
        </w:tc>
        <w:tc>
          <w:tcPr>
            <w:tcW w:w="1814" w:type="dxa"/>
            <w:vAlign w:val="center"/>
          </w:tcPr>
          <w:p>
            <w:pPr>
              <w:pStyle w:val="12"/>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4</w:t>
            </w:r>
          </w:p>
        </w:tc>
        <w:tc>
          <w:tcPr>
            <w:tcW w:w="2213" w:type="dxa"/>
            <w:vAlign w:val="center"/>
          </w:tcPr>
          <w:p>
            <w:pPr>
              <w:pStyle w:val="12"/>
              <w:numPr>
                <w:ilvl w:val="0"/>
                <w:numId w:val="0"/>
              </w:numPr>
              <w:jc w:val="center"/>
              <w:rPr>
                <w:rFonts w:hint="default"/>
                <w:vertAlign w:val="baseline"/>
                <w:lang w:val="en-US" w:eastAsia="zh-CN"/>
              </w:rPr>
            </w:pPr>
          </w:p>
        </w:tc>
        <w:tc>
          <w:tcPr>
            <w:tcW w:w="2250" w:type="dxa"/>
            <w:vAlign w:val="center"/>
          </w:tcPr>
          <w:p>
            <w:pPr>
              <w:pStyle w:val="12"/>
              <w:numPr>
                <w:ilvl w:val="0"/>
                <w:numId w:val="0"/>
              </w:numPr>
              <w:jc w:val="center"/>
              <w:rPr>
                <w:rFonts w:hint="default"/>
                <w:vertAlign w:val="baseline"/>
                <w:lang w:val="en-US" w:eastAsia="zh-CN"/>
              </w:rPr>
            </w:pPr>
          </w:p>
        </w:tc>
        <w:tc>
          <w:tcPr>
            <w:tcW w:w="2060" w:type="dxa"/>
            <w:vAlign w:val="center"/>
          </w:tcPr>
          <w:p>
            <w:pPr>
              <w:pStyle w:val="12"/>
              <w:numPr>
                <w:ilvl w:val="0"/>
                <w:numId w:val="0"/>
              </w:numPr>
              <w:jc w:val="center"/>
              <w:rPr>
                <w:rFonts w:hint="default"/>
                <w:vertAlign w:val="baseline"/>
                <w:lang w:val="en-US" w:eastAsia="zh-CN"/>
              </w:rPr>
            </w:pPr>
          </w:p>
        </w:tc>
        <w:tc>
          <w:tcPr>
            <w:tcW w:w="1814" w:type="dxa"/>
            <w:vAlign w:val="center"/>
          </w:tcPr>
          <w:p>
            <w:pPr>
              <w:pStyle w:val="12"/>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vAlign w:val="center"/>
          </w:tcPr>
          <w:p>
            <w:pPr>
              <w:pStyle w:val="12"/>
              <w:numPr>
                <w:ilvl w:val="0"/>
                <w:numId w:val="0"/>
              </w:numPr>
              <w:jc w:val="center"/>
              <w:rPr>
                <w:rFonts w:hint="default"/>
                <w:vertAlign w:val="baseline"/>
                <w:lang w:val="en-US" w:eastAsia="zh-CN"/>
              </w:rPr>
            </w:pPr>
            <w:r>
              <w:rPr>
                <w:rFonts w:hint="eastAsia"/>
                <w:vertAlign w:val="baseline"/>
                <w:lang w:val="en-US" w:eastAsia="zh-CN"/>
              </w:rPr>
              <w:t>....</w:t>
            </w:r>
          </w:p>
        </w:tc>
        <w:tc>
          <w:tcPr>
            <w:tcW w:w="2213" w:type="dxa"/>
            <w:vAlign w:val="center"/>
          </w:tcPr>
          <w:p>
            <w:pPr>
              <w:pStyle w:val="12"/>
              <w:numPr>
                <w:ilvl w:val="0"/>
                <w:numId w:val="0"/>
              </w:numPr>
              <w:jc w:val="center"/>
              <w:rPr>
                <w:rFonts w:hint="default"/>
                <w:vertAlign w:val="baseline"/>
                <w:lang w:val="en-US" w:eastAsia="zh-CN"/>
              </w:rPr>
            </w:pPr>
          </w:p>
        </w:tc>
        <w:tc>
          <w:tcPr>
            <w:tcW w:w="2250" w:type="dxa"/>
            <w:vAlign w:val="center"/>
          </w:tcPr>
          <w:p>
            <w:pPr>
              <w:pStyle w:val="12"/>
              <w:numPr>
                <w:ilvl w:val="0"/>
                <w:numId w:val="0"/>
              </w:numPr>
              <w:jc w:val="center"/>
              <w:rPr>
                <w:rFonts w:hint="default"/>
                <w:vertAlign w:val="baseline"/>
                <w:lang w:val="en-US" w:eastAsia="zh-CN"/>
              </w:rPr>
            </w:pPr>
          </w:p>
        </w:tc>
        <w:tc>
          <w:tcPr>
            <w:tcW w:w="2060" w:type="dxa"/>
            <w:vAlign w:val="center"/>
          </w:tcPr>
          <w:p>
            <w:pPr>
              <w:pStyle w:val="12"/>
              <w:numPr>
                <w:ilvl w:val="0"/>
                <w:numId w:val="0"/>
              </w:numPr>
              <w:jc w:val="center"/>
              <w:rPr>
                <w:rFonts w:hint="default"/>
                <w:vertAlign w:val="baseline"/>
                <w:lang w:val="en-US" w:eastAsia="zh-CN"/>
              </w:rPr>
            </w:pPr>
          </w:p>
        </w:tc>
        <w:tc>
          <w:tcPr>
            <w:tcW w:w="1814" w:type="dxa"/>
            <w:vAlign w:val="center"/>
          </w:tcPr>
          <w:p>
            <w:pPr>
              <w:pStyle w:val="12"/>
              <w:numPr>
                <w:ilvl w:val="0"/>
                <w:numId w:val="0"/>
              </w:numPr>
              <w:jc w:val="center"/>
              <w:rPr>
                <w:rFonts w:hint="default"/>
                <w:vertAlign w:val="baseline"/>
                <w:lang w:val="en-US" w:eastAsia="zh-CN"/>
              </w:rPr>
            </w:pPr>
          </w:p>
        </w:tc>
      </w:tr>
    </w:tbl>
    <w:p>
      <w:pPr>
        <w:pStyle w:val="12"/>
        <w:numPr>
          <w:ilvl w:val="0"/>
          <w:numId w:val="0"/>
        </w:numPr>
        <w:rPr>
          <w:rFonts w:hint="default"/>
          <w:lang w:val="en-US" w:eastAsia="zh-CN"/>
        </w:rPr>
      </w:pP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lang w:val="zh-CN"/>
        </w:rPr>
      </w:pPr>
      <w:r>
        <w:rPr>
          <w:rFonts w:hint="eastAsia" w:ascii="宋体" w:hAnsi="宋体" w:eastAsia="宋体" w:cs="宋体"/>
          <w:sz w:val="24"/>
          <w:lang w:val="zh-CN"/>
        </w:rPr>
        <w:t>日期：年月日</w:t>
      </w:r>
    </w:p>
    <w:p>
      <w:pPr>
        <w:spacing w:line="360" w:lineRule="auto"/>
        <w:rPr>
          <w:rFonts w:hint="eastAsia" w:ascii="宋体" w:hAnsi="宋体" w:eastAsia="宋体" w:cs="宋体"/>
          <w:sz w:val="24"/>
        </w:rPr>
      </w:pPr>
      <w:r>
        <w:rPr>
          <w:rFonts w:hint="eastAsia" w:ascii="宋体" w:hAnsi="宋体" w:eastAsia="宋体" w:cs="宋体"/>
          <w:sz w:val="24"/>
        </w:rPr>
        <w:br w:type="page"/>
      </w:r>
    </w:p>
    <w:p>
      <w:pPr>
        <w:pStyle w:val="13"/>
        <w:jc w:val="center"/>
        <w:outlineLvl w:val="0"/>
        <w:rPr>
          <w:rFonts w:hint="eastAsia" w:ascii="宋体" w:hAnsi="宋体" w:eastAsia="宋体" w:cs="宋体"/>
          <w:b/>
          <w:sz w:val="30"/>
          <w:szCs w:val="30"/>
        </w:rPr>
      </w:pPr>
      <w:bookmarkStart w:id="239" w:name="_Toc23363"/>
      <w:r>
        <w:rPr>
          <w:rFonts w:hint="eastAsia" w:hAnsi="宋体" w:cs="宋体"/>
          <w:b/>
          <w:sz w:val="30"/>
          <w:szCs w:val="30"/>
          <w:lang w:val="en-US" w:eastAsia="zh-CN"/>
        </w:rPr>
        <w:t>七</w:t>
      </w:r>
      <w:r>
        <w:rPr>
          <w:rFonts w:hint="eastAsia" w:ascii="宋体" w:hAnsi="宋体" w:eastAsia="宋体" w:cs="宋体"/>
          <w:b/>
          <w:sz w:val="30"/>
          <w:szCs w:val="30"/>
        </w:rPr>
        <w:t>、</w:t>
      </w:r>
      <w:bookmarkEnd w:id="236"/>
      <w:bookmarkEnd w:id="237"/>
      <w:r>
        <w:rPr>
          <w:rFonts w:hint="eastAsia" w:hAnsi="宋体" w:cs="宋体"/>
          <w:b/>
          <w:sz w:val="30"/>
          <w:szCs w:val="30"/>
          <w:lang w:val="en-US" w:eastAsia="zh-CN"/>
        </w:rPr>
        <w:t>技术</w:t>
      </w:r>
      <w:r>
        <w:rPr>
          <w:rFonts w:hint="eastAsia" w:ascii="宋体" w:hAnsi="宋体" w:eastAsia="宋体" w:cs="宋体"/>
          <w:b/>
          <w:sz w:val="30"/>
          <w:szCs w:val="30"/>
        </w:rPr>
        <w:t>方案</w:t>
      </w:r>
      <w:bookmarkEnd w:id="238"/>
      <w:bookmarkEnd w:id="239"/>
    </w:p>
    <w:p>
      <w:pPr>
        <w:pStyle w:val="13"/>
        <w:rPr>
          <w:rFonts w:hint="eastAsia" w:ascii="宋体" w:hAnsi="宋体" w:eastAsia="宋体" w:cs="宋体"/>
          <w:sz w:val="36"/>
          <w:szCs w:val="36"/>
        </w:rPr>
      </w:pPr>
    </w:p>
    <w:p>
      <w:pPr>
        <w:pStyle w:val="13"/>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根据评分标准及供应商自身情况进行编制</w:t>
      </w:r>
      <w:r>
        <w:rPr>
          <w:rFonts w:hint="eastAsia" w:ascii="宋体" w:hAnsi="宋体" w:eastAsia="宋体" w:cs="宋体"/>
          <w:sz w:val="36"/>
          <w:szCs w:val="36"/>
        </w:rPr>
        <w:t>）</w:t>
      </w:r>
    </w:p>
    <w:p>
      <w:pPr>
        <w:pStyle w:val="13"/>
        <w:rPr>
          <w:rFonts w:hint="eastAsia" w:ascii="宋体" w:hAnsi="宋体" w:eastAsia="宋体" w:cs="宋体"/>
          <w:sz w:val="36"/>
          <w:szCs w:val="36"/>
        </w:rPr>
      </w:pPr>
    </w:p>
    <w:p>
      <w:pPr>
        <w:pStyle w:val="13"/>
        <w:rPr>
          <w:rFonts w:hint="eastAsia" w:ascii="宋体" w:hAnsi="宋体" w:eastAsia="宋体" w:cs="宋体"/>
          <w:sz w:val="36"/>
          <w:szCs w:val="36"/>
        </w:rPr>
      </w:pPr>
    </w:p>
    <w:bookmarkEnd w:id="222"/>
    <w:bookmarkEnd w:id="223"/>
    <w:bookmarkEnd w:id="224"/>
    <w:bookmarkEnd w:id="225"/>
    <w:bookmarkEnd w:id="226"/>
    <w:bookmarkEnd w:id="227"/>
    <w:bookmarkEnd w:id="228"/>
    <w:bookmarkEnd w:id="229"/>
    <w:bookmarkEnd w:id="230"/>
    <w:bookmarkEnd w:id="231"/>
    <w:p>
      <w:pPr>
        <w:rPr>
          <w:rFonts w:hint="eastAsia" w:ascii="宋体" w:hAnsi="宋体" w:eastAsia="宋体" w:cs="宋体"/>
          <w:b/>
          <w:szCs w:val="21"/>
        </w:rPr>
      </w:pPr>
      <w:bookmarkStart w:id="240" w:name="_Toc23306_WPSOffice_Level1"/>
      <w:bookmarkStart w:id="241" w:name="_Toc29782_WPSOffice_Level1"/>
      <w:bookmarkStart w:id="242" w:name="_Toc469342447"/>
      <w:bookmarkStart w:id="243" w:name="_Toc8748_WPSOffice_Level1"/>
      <w:bookmarkStart w:id="244" w:name="_Toc4769_WPSOffice_Level1"/>
      <w:bookmarkStart w:id="245" w:name="_Toc9578"/>
      <w:bookmarkStart w:id="246" w:name="_Toc7349_WPSOffice_Level1"/>
      <w:bookmarkStart w:id="247" w:name="_Toc493842421"/>
      <w:bookmarkStart w:id="248" w:name="_Toc6271_WPSOffice_Level1"/>
      <w:bookmarkStart w:id="249" w:name="_Toc457469183"/>
      <w:bookmarkStart w:id="250" w:name="_Toc4416_WPSOffice_Level1"/>
      <w:r>
        <w:rPr>
          <w:rFonts w:hint="eastAsia" w:ascii="宋体" w:hAnsi="宋体" w:eastAsia="宋体" w:cs="宋体"/>
          <w:b/>
          <w:szCs w:val="21"/>
        </w:rPr>
        <w:br w:type="page"/>
      </w:r>
    </w:p>
    <w:p>
      <w:pPr>
        <w:keepNext w:val="0"/>
        <w:keepLines w:val="0"/>
        <w:widowControl/>
        <w:suppressLineNumbers w:val="0"/>
        <w:jc w:val="center"/>
        <w:rPr>
          <w:rFonts w:hint="eastAsia" w:ascii="宋体" w:hAnsi="宋体" w:eastAsia="宋体" w:cs="宋体"/>
          <w:sz w:val="24"/>
          <w:szCs w:val="24"/>
          <w:lang w:val="en-US" w:eastAsia="zh-CN"/>
        </w:rPr>
      </w:pPr>
      <w:bookmarkStart w:id="251" w:name="_Toc26472"/>
      <w:bookmarkStart w:id="252" w:name="_Toc28224"/>
      <w:bookmarkStart w:id="253" w:name="_Toc30631"/>
      <w:bookmarkStart w:id="254" w:name="_Toc1228"/>
      <w:r>
        <w:rPr>
          <w:rFonts w:hint="eastAsia" w:cs="宋体"/>
          <w:b/>
          <w:kern w:val="0"/>
          <w:sz w:val="30"/>
          <w:szCs w:val="30"/>
          <w:lang w:val="en-US" w:eastAsia="zh-CN"/>
        </w:rPr>
        <w:t>八</w:t>
      </w:r>
      <w:r>
        <w:rPr>
          <w:rFonts w:hint="eastAsia" w:ascii="宋体" w:hAnsi="宋体" w:eastAsia="宋体" w:cs="宋体"/>
          <w:b/>
          <w:kern w:val="0"/>
          <w:sz w:val="30"/>
          <w:szCs w:val="30"/>
        </w:rPr>
        <w:t>、</w:t>
      </w:r>
      <w:bookmarkEnd w:id="251"/>
      <w:bookmarkEnd w:id="252"/>
      <w:bookmarkEnd w:id="253"/>
      <w:bookmarkEnd w:id="254"/>
      <w:r>
        <w:rPr>
          <w:rFonts w:hint="eastAsia" w:ascii="宋体" w:hAnsi="宋体" w:eastAsia="宋体" w:cs="宋体"/>
          <w:b/>
          <w:bCs/>
          <w:color w:val="000000"/>
          <w:kern w:val="0"/>
          <w:sz w:val="28"/>
          <w:szCs w:val="28"/>
          <w:lang w:val="en-US" w:eastAsia="zh-CN" w:bidi="ar"/>
        </w:rPr>
        <w:t>菏泽市政府采购供应商资格信用承诺函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我公司自愿参加</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lang w:val="en-US" w:eastAsia="zh-CN"/>
        </w:rPr>
        <w:t xml:space="preserve">政府采购活动,并郑重承诺: 我公司符合下列要求：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(5)参加政府采购活动(以开启时间为准)前3年内,供应商和其法定代表人无行贿犯罪行为且在经营活动中没有重大违法记录以及本项目开启时未被禁止参加本项目所在地的政府采 购活动的证明材料；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(6)法律、行政法规和采购文件规定的其他条件。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如果我公司中标(成交),将在评审(评标)环节结束后5个工作日内,按采购文件要求,向采购人提供下列材料原件进行核验：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(1)营业执照或事业单位法人登记证书；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(2)税务登记证(接受合一的证书)或者上一年度以来任意一个月缴纳的增值税或营业税或企业所得税的凭据；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(3)参加本次政府采购活动上一年度至今的年度或任意一个月度财务报表（至少包含资产负债表和损益表或预算收入支出表)或供应商结算户银行出具的资信证明；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(4)参加本次政府采购活动上一年度以来任意一个月缴纳社会保险的凭据(专用收据或社会保险缴纳清单)；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(5)其他材料。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本公司对上述承诺的真实性、合法性、有效性负责,如有虚假,将依法承担相应责任。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法定代表人(签章):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社会信用代码: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供应商名称(签章):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   月   日</w:t>
      </w:r>
    </w:p>
    <w:p>
      <w:pPr>
        <w:spacing w:line="360" w:lineRule="auto"/>
        <w:jc w:val="right"/>
        <w:rPr>
          <w:rFonts w:hint="eastAsia" w:ascii="宋体" w:hAnsi="宋体" w:eastAsia="宋体" w:cs="宋体"/>
          <w:sz w:val="24"/>
        </w:rPr>
      </w:pPr>
    </w:p>
    <w:bookmarkEnd w:id="240"/>
    <w:bookmarkEnd w:id="241"/>
    <w:bookmarkEnd w:id="242"/>
    <w:bookmarkEnd w:id="243"/>
    <w:bookmarkEnd w:id="244"/>
    <w:bookmarkEnd w:id="245"/>
    <w:bookmarkEnd w:id="246"/>
    <w:bookmarkEnd w:id="247"/>
    <w:bookmarkEnd w:id="248"/>
    <w:bookmarkEnd w:id="249"/>
    <w:bookmarkEnd w:id="250"/>
    <w:p>
      <w:pPr>
        <w:pStyle w:val="7"/>
        <w:spacing w:line="600" w:lineRule="exact"/>
        <w:jc w:val="center"/>
        <w:rPr>
          <w:rFonts w:hint="eastAsia" w:ascii="宋体" w:hAnsi="宋体" w:eastAsia="宋体" w:cs="宋体"/>
          <w:sz w:val="30"/>
          <w:szCs w:val="30"/>
        </w:rPr>
      </w:pPr>
      <w:bookmarkStart w:id="255" w:name="_Toc7562_WPSOffice_Level1"/>
      <w:bookmarkStart w:id="256" w:name="_Toc10253_WPSOffice_Level1"/>
      <w:bookmarkStart w:id="257" w:name="_Toc449_WPSOffice_Level1"/>
      <w:r>
        <w:rPr>
          <w:rFonts w:hint="eastAsia" w:ascii="宋体" w:hAnsi="宋体" w:eastAsia="宋体" w:cs="宋体"/>
          <w:sz w:val="30"/>
          <w:szCs w:val="30"/>
        </w:rPr>
        <w:br w:type="page"/>
      </w:r>
      <w:bookmarkStart w:id="258" w:name="_Toc10004"/>
      <w:bookmarkStart w:id="259" w:name="_Toc25281"/>
      <w:bookmarkStart w:id="260" w:name="_Toc28021"/>
      <w:r>
        <w:rPr>
          <w:rFonts w:hint="eastAsia" w:cs="宋体"/>
          <w:sz w:val="30"/>
          <w:szCs w:val="30"/>
          <w:lang w:val="en-US" w:eastAsia="zh-CN"/>
        </w:rPr>
        <w:t>九</w:t>
      </w:r>
      <w:r>
        <w:rPr>
          <w:rFonts w:hint="eastAsia" w:ascii="宋体" w:hAnsi="宋体" w:eastAsia="宋体" w:cs="宋体"/>
          <w:sz w:val="30"/>
          <w:szCs w:val="30"/>
        </w:rPr>
        <w:t>、供应商认为需要提供的其他资料</w:t>
      </w:r>
      <w:bookmarkEnd w:id="258"/>
      <w:bookmarkEnd w:id="259"/>
      <w:bookmarkEnd w:id="260"/>
    </w:p>
    <w:p>
      <w:pPr>
        <w:pStyle w:val="7"/>
        <w:numPr>
          <w:ilvl w:val="0"/>
          <w:numId w:val="0"/>
        </w:numPr>
        <w:spacing w:line="600" w:lineRule="exact"/>
        <w:ind w:leftChars="0"/>
        <w:jc w:val="center"/>
        <w:outlineLvl w:val="0"/>
        <w:rPr>
          <w:rFonts w:hint="eastAsia" w:ascii="宋体" w:hAnsi="宋体" w:eastAsia="宋体" w:cs="宋体"/>
          <w:sz w:val="24"/>
          <w:szCs w:val="24"/>
          <w:lang w:val="en-US" w:eastAsia="zh-CN"/>
        </w:rPr>
      </w:pPr>
      <w:r>
        <w:rPr>
          <w:rFonts w:hint="eastAsia" w:ascii="宋体" w:hAnsi="宋体" w:eastAsia="宋体" w:cs="宋体"/>
          <w:b/>
          <w:sz w:val="30"/>
          <w:szCs w:val="30"/>
        </w:rPr>
        <w:br w:type="page"/>
      </w:r>
      <w:bookmarkStart w:id="261" w:name="_Toc31503"/>
      <w:bookmarkStart w:id="262" w:name="_Toc1945"/>
      <w:bookmarkStart w:id="263" w:name="_Toc13695"/>
      <w:bookmarkStart w:id="264" w:name="_Toc22778"/>
      <w:r>
        <w:rPr>
          <w:rFonts w:hint="eastAsia" w:cs="宋体"/>
          <w:b/>
          <w:sz w:val="30"/>
          <w:szCs w:val="30"/>
          <w:lang w:val="en-US" w:eastAsia="zh-CN"/>
        </w:rPr>
        <w:t>十</w:t>
      </w:r>
      <w:r>
        <w:rPr>
          <w:rFonts w:hint="eastAsia" w:ascii="宋体" w:hAnsi="宋体" w:eastAsia="宋体" w:cs="宋体"/>
          <w:b/>
          <w:sz w:val="30"/>
          <w:szCs w:val="30"/>
        </w:rPr>
        <w:t>、</w:t>
      </w:r>
      <w:bookmarkEnd w:id="255"/>
      <w:bookmarkEnd w:id="256"/>
      <w:bookmarkEnd w:id="257"/>
      <w:bookmarkEnd w:id="261"/>
      <w:bookmarkEnd w:id="262"/>
      <w:bookmarkEnd w:id="263"/>
      <w:bookmarkEnd w:id="264"/>
      <w:r>
        <w:rPr>
          <w:rFonts w:hint="eastAsia" w:ascii="宋体" w:hAnsi="宋体" w:eastAsia="宋体" w:cs="宋体"/>
          <w:b/>
          <w:bCs/>
          <w:sz w:val="24"/>
          <w:szCs w:val="24"/>
        </w:rPr>
        <w:t>中小企业声明函</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号）的规定，本公司（联合体）参加（单位名称）的（项目名称） 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1. （标的名称），属于 （采购文件中明确的所属行业）；承建（承接）企业为 （企业名称），从业人员 人，营业收入为 万元，资产总额为 万元，属于（中型企业、小型企业、微型企业）；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2.（标的名称），属于（采购文件中明确的所属行业）行业；制造商为 （企业名称），从业人员 人，营业收入为 万元，资产总额为 万元，属于（中型企业、小型企业、微型企业）；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8"/>
        <w:numPr>
          <w:ilvl w:val="2"/>
          <w:numId w:val="0"/>
        </w:numPr>
        <w:spacing w:before="0" w:after="0" w:line="6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小型、微型企业产品明细表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tbl>
      <w:tblPr>
        <w:tblStyle w:val="22"/>
        <w:tblpPr w:leftFromText="180" w:rightFromText="180" w:vertAnchor="text" w:horzAnchor="page" w:tblpX="1513"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9"/>
        <w:gridCol w:w="1002"/>
        <w:gridCol w:w="859"/>
        <w:gridCol w:w="1288"/>
        <w:gridCol w:w="1467"/>
        <w:gridCol w:w="154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152"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小型、微型企业产品价格合计</w:t>
            </w:r>
          </w:p>
        </w:tc>
        <w:tc>
          <w:tcPr>
            <w:tcW w:w="1861"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75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小型、微型企业产品价格在投标报价中所占比例</w:t>
            </w:r>
          </w:p>
        </w:tc>
        <w:tc>
          <w:tcPr>
            <w:tcW w:w="279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pPr>
        <w:wordWrap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 1.如所投产品为小型、微型企业产品，必须按规定格式逐项填写，否则评分时不予以价格扣除。如所投产品不是小型、微型企业产品，则不需填写本表。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2.此表可根据需要同格式扩展。</w:t>
      </w:r>
    </w:p>
    <w:p>
      <w:pPr>
        <w:pStyle w:val="2"/>
        <w:rPr>
          <w:rFonts w:hint="eastAsia" w:ascii="宋体" w:hAnsi="宋体" w:eastAsia="宋体" w:cs="宋体"/>
          <w:color w:val="auto"/>
          <w:sz w:val="24"/>
          <w:szCs w:val="24"/>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spacing w:line="480" w:lineRule="exac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360" w:lineRule="auto"/>
        <w:jc w:val="center"/>
        <w:outlineLvl w:val="0"/>
        <w:rPr>
          <w:rFonts w:hint="eastAsia" w:ascii="宋体" w:hAnsi="宋体" w:eastAsia="宋体" w:cs="宋体"/>
          <w:color w:val="auto"/>
          <w:sz w:val="24"/>
          <w:szCs w:val="24"/>
        </w:rPr>
      </w:pPr>
      <w:bookmarkStart w:id="265" w:name="_Toc20414"/>
      <w:bookmarkStart w:id="266" w:name="_Toc10470"/>
      <w:r>
        <w:rPr>
          <w:rFonts w:hint="eastAsia" w:ascii="宋体" w:hAnsi="宋体" w:eastAsia="宋体" w:cs="宋体"/>
          <w:color w:val="auto"/>
          <w:sz w:val="24"/>
          <w:szCs w:val="24"/>
        </w:rPr>
        <w:t>残疾人福利性单位声明函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65"/>
      <w:bookmarkEnd w:id="266"/>
    </w:p>
    <w:p>
      <w:pPr>
        <w:spacing w:line="360" w:lineRule="auto"/>
        <w:jc w:val="center"/>
        <w:outlineLvl w:val="0"/>
        <w:rPr>
          <w:rFonts w:hint="eastAsia" w:ascii="宋体" w:hAnsi="宋体" w:eastAsia="宋体" w:cs="宋体"/>
          <w:color w:val="auto"/>
          <w:sz w:val="24"/>
          <w:szCs w:val="24"/>
        </w:rPr>
      </w:pPr>
      <w:bookmarkStart w:id="267" w:name="_Toc26085"/>
      <w:bookmarkStart w:id="268" w:name="_Toc19692"/>
      <w:r>
        <w:rPr>
          <w:rFonts w:hint="eastAsia" w:ascii="宋体" w:hAnsi="宋体" w:eastAsia="宋体" w:cs="宋体"/>
          <w:color w:val="auto"/>
          <w:sz w:val="24"/>
          <w:szCs w:val="24"/>
        </w:rPr>
        <w:t>（非残疾人福利单位不需要提供）</w:t>
      </w:r>
      <w:bookmarkEnd w:id="267"/>
      <w:bookmarkEnd w:id="268"/>
    </w:p>
    <w:p>
      <w:pPr>
        <w:jc w:val="left"/>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 提供服务），或者提供其他残疾人福利性单位制造的货物（不包括使用非残疾人福利性单位注 册商标的货物）。 </w:t>
      </w:r>
    </w:p>
    <w:p>
      <w:pPr>
        <w:spacing w:line="360" w:lineRule="auto"/>
        <w:jc w:val="left"/>
        <w:rPr>
          <w:rFonts w:hint="eastAsia" w:ascii="宋体" w:hAnsi="宋体" w:eastAsia="宋体" w:cs="宋体"/>
          <w:color w:val="auto"/>
          <w:sz w:val="24"/>
          <w:szCs w:val="24"/>
          <w:lang w:val="zh-CN"/>
        </w:rPr>
      </w:pPr>
    </w:p>
    <w:p>
      <w:pPr>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本单位对上述声明的真实性负责。如有虚假，将依法承担相应责任。 </w:t>
      </w:r>
    </w:p>
    <w:p>
      <w:pPr>
        <w:jc w:val="left"/>
        <w:rPr>
          <w:rFonts w:hint="eastAsia" w:ascii="宋体" w:hAnsi="宋体" w:eastAsia="宋体" w:cs="宋体"/>
          <w:color w:val="auto"/>
          <w:sz w:val="24"/>
          <w:szCs w:val="24"/>
          <w:lang w:val="zh-CN"/>
        </w:rPr>
      </w:pPr>
    </w:p>
    <w:p>
      <w:pPr>
        <w:pStyle w:val="11"/>
        <w:ind w:left="820" w:hanging="400"/>
        <w:rPr>
          <w:rFonts w:hint="eastAsia" w:ascii="宋体" w:hAnsi="宋体" w:eastAsia="宋体" w:cs="宋体"/>
          <w:color w:val="auto"/>
          <w:sz w:val="24"/>
          <w:szCs w:val="24"/>
          <w:lang w:val="zh-CN"/>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before="156" w:beforeLines="50" w:line="360" w:lineRule="auto"/>
        <w:jc w:val="center"/>
        <w:outlineLvl w:val="0"/>
        <w:rPr>
          <w:rFonts w:hint="eastAsia" w:ascii="宋体" w:hAnsi="宋体" w:eastAsia="宋体" w:cs="宋体"/>
          <w:color w:val="auto"/>
          <w:sz w:val="24"/>
          <w:szCs w:val="24"/>
        </w:rPr>
      </w:pPr>
      <w:bookmarkStart w:id="269" w:name="_Toc15433"/>
      <w:bookmarkStart w:id="270" w:name="_Toc22038"/>
      <w:r>
        <w:rPr>
          <w:rFonts w:hint="eastAsia" w:ascii="宋体" w:hAnsi="宋体" w:eastAsia="宋体" w:cs="宋体"/>
          <w:color w:val="auto"/>
          <w:sz w:val="24"/>
          <w:szCs w:val="24"/>
        </w:rPr>
        <w:t>监狱企业证明材料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69"/>
      <w:bookmarkEnd w:id="270"/>
    </w:p>
    <w:p>
      <w:pPr>
        <w:jc w:val="center"/>
        <w:outlineLvl w:val="0"/>
        <w:rPr>
          <w:rFonts w:hint="eastAsia" w:ascii="宋体" w:hAnsi="宋体" w:eastAsia="宋体" w:cs="宋体"/>
          <w:color w:val="auto"/>
          <w:sz w:val="24"/>
          <w:szCs w:val="24"/>
          <w:lang w:val="zh-CN"/>
        </w:rPr>
      </w:pPr>
      <w:bookmarkStart w:id="271" w:name="_Toc14144"/>
      <w:bookmarkStart w:id="272" w:name="_Toc23187"/>
      <w:r>
        <w:rPr>
          <w:rFonts w:hint="eastAsia" w:ascii="宋体" w:hAnsi="宋体" w:eastAsia="宋体" w:cs="宋体"/>
          <w:color w:val="auto"/>
          <w:sz w:val="24"/>
          <w:szCs w:val="24"/>
          <w:lang w:val="zh-CN"/>
        </w:rPr>
        <w:t>（若企业非监狱企业，则不需填写）</w:t>
      </w:r>
      <w:bookmarkEnd w:id="271"/>
      <w:bookmarkEnd w:id="272"/>
    </w:p>
    <w:p>
      <w:pPr>
        <w:ind w:firstLine="482" w:firstLineChars="200"/>
        <w:jc w:val="left"/>
        <w:rPr>
          <w:rFonts w:hint="eastAsia" w:ascii="宋体" w:hAnsi="宋体" w:eastAsia="宋体" w:cs="宋体"/>
          <w:color w:val="auto"/>
          <w:sz w:val="24"/>
          <w:szCs w:val="24"/>
          <w:lang w:val="zh-CN"/>
        </w:rPr>
      </w:pPr>
    </w:p>
    <w:p>
      <w:pPr>
        <w:spacing w:line="360" w:lineRule="auto"/>
        <w:ind w:firstLine="482"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提供由省级以上监狱管理局、戒毒管理局（含新疆生产建设兵团）出具的属于监狱企业的证明文件。</w:t>
      </w:r>
    </w:p>
    <w:p>
      <w:pPr>
        <w:jc w:val="left"/>
        <w:rPr>
          <w:rFonts w:hint="eastAsia" w:ascii="宋体" w:hAnsi="宋体" w:eastAsia="宋体" w:cs="宋体"/>
          <w:color w:val="auto"/>
          <w:sz w:val="24"/>
          <w:szCs w:val="24"/>
          <w:lang w:val="zh-CN"/>
        </w:rPr>
      </w:pPr>
    </w:p>
    <w:p>
      <w:pPr>
        <w:jc w:val="left"/>
        <w:rPr>
          <w:rFonts w:hint="eastAsia" w:ascii="宋体" w:hAnsi="宋体" w:eastAsia="宋体" w:cs="宋体"/>
          <w:color w:val="auto"/>
          <w:sz w:val="24"/>
          <w:szCs w:val="24"/>
          <w:lang w:val="zh-CN"/>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pStyle w:val="13"/>
        <w:ind w:firstLine="482" w:firstLineChars="200"/>
        <w:rPr>
          <w:rFonts w:hint="eastAsia" w:ascii="宋体" w:hAnsi="宋体" w:eastAsia="宋体" w:cs="宋体"/>
          <w:color w:val="auto"/>
          <w:sz w:val="24"/>
          <w:szCs w:val="24"/>
          <w:u w:val="single"/>
        </w:rPr>
      </w:pPr>
    </w:p>
    <w:p>
      <w:pPr>
        <w:pStyle w:val="13"/>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pStyle w:val="13"/>
        <w:ind w:firstLine="482" w:firstLineChars="200"/>
        <w:rPr>
          <w:rFonts w:hint="eastAsia" w:ascii="宋体" w:hAnsi="宋体" w:eastAsia="宋体" w:cs="宋体"/>
          <w:color w:val="auto"/>
          <w:sz w:val="24"/>
          <w:szCs w:val="24"/>
        </w:rPr>
      </w:pPr>
    </w:p>
    <w:p>
      <w:pPr>
        <w:spacing w:before="100" w:beforeAutospacing="1" w:after="100" w:afterAutospacing="1"/>
        <w:jc w:val="center"/>
        <w:rPr>
          <w:rFonts w:hint="eastAsia" w:ascii="宋体" w:hAnsi="宋体" w:eastAsia="宋体" w:cs="宋体"/>
          <w:color w:val="auto"/>
          <w:kern w:val="0"/>
          <w:sz w:val="24"/>
          <w:szCs w:val="24"/>
        </w:rPr>
      </w:pPr>
    </w:p>
    <w:p>
      <w:pPr>
        <w:pStyle w:val="5"/>
        <w:rPr>
          <w:rFonts w:hint="eastAsia"/>
        </w:rPr>
      </w:pPr>
    </w:p>
    <w:p>
      <w:pPr>
        <w:spacing w:before="100" w:beforeAutospacing="1" w:after="100" w:afterAutospacing="1"/>
        <w:jc w:val="center"/>
        <w:outlineLvl w:val="0"/>
        <w:rPr>
          <w:rFonts w:hint="eastAsia" w:ascii="宋体" w:hAnsi="宋体" w:eastAsia="宋体" w:cs="宋体"/>
          <w:color w:val="auto"/>
          <w:kern w:val="0"/>
          <w:sz w:val="24"/>
          <w:szCs w:val="24"/>
        </w:rPr>
      </w:pPr>
      <w:bookmarkStart w:id="273" w:name="_Toc32388"/>
      <w:bookmarkStart w:id="274" w:name="_Toc24960"/>
      <w:r>
        <w:rPr>
          <w:rFonts w:hint="eastAsia" w:ascii="宋体" w:hAnsi="宋体" w:eastAsia="宋体" w:cs="宋体"/>
          <w:color w:val="auto"/>
          <w:kern w:val="0"/>
          <w:sz w:val="24"/>
          <w:szCs w:val="24"/>
        </w:rPr>
        <w:t>节能环保产品明细表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73"/>
      <w:bookmarkEnd w:id="274"/>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wordWrap w:val="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77"/>
        <w:gridCol w:w="1079"/>
        <w:gridCol w:w="1081"/>
        <w:gridCol w:w="1239"/>
        <w:gridCol w:w="1274"/>
        <w:gridCol w:w="851"/>
        <w:gridCol w:w="10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品牌/型号</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厂家/产地</w:t>
            </w:r>
          </w:p>
        </w:tc>
        <w:tc>
          <w:tcPr>
            <w:tcW w:w="123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节字标志</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认证证书号</w:t>
            </w:r>
          </w:p>
        </w:tc>
        <w:tc>
          <w:tcPr>
            <w:tcW w:w="1274" w:type="dxa"/>
            <w:noWrap w:val="0"/>
            <w:vAlign w:val="center"/>
          </w:tcPr>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环境标志</w:t>
            </w:r>
          </w:p>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认证证书编号</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9"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节能产品价格合计</w:t>
            </w:r>
          </w:p>
        </w:tc>
        <w:tc>
          <w:tcPr>
            <w:tcW w:w="232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12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节能产品价格在投标报价中所占比例</w:t>
            </w:r>
          </w:p>
        </w:tc>
        <w:tc>
          <w:tcPr>
            <w:tcW w:w="2093"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9"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环境标志产品价格合计</w:t>
            </w:r>
          </w:p>
        </w:tc>
        <w:tc>
          <w:tcPr>
            <w:tcW w:w="232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12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环境标准产品价格</w:t>
            </w:r>
          </w:p>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在投标报价中所占比例</w:t>
            </w:r>
          </w:p>
        </w:tc>
        <w:tc>
          <w:tcPr>
            <w:tcW w:w="2093"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注：(1)节能产品、环境标准产品价格在投标报价中所占比例百分数保留两位小数；表格后附处于有效期之内的节能产品、环境标志产品认证证书（扫描件加盖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w:t>
      </w:r>
    </w:p>
    <w:p>
      <w:pPr>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所填写的内容必须真实、可靠，如有虚假或隐瞒，一经查实将导致投标被拒绝。</w:t>
      </w:r>
    </w:p>
    <w:p>
      <w:pPr>
        <w:rPr>
          <w:rFonts w:hint="eastAsia" w:ascii="宋体" w:hAnsi="宋体" w:eastAsia="宋体" w:cs="宋体"/>
          <w:color w:val="auto"/>
          <w:sz w:val="24"/>
          <w:szCs w:val="24"/>
        </w:rPr>
      </w:pPr>
      <w:r>
        <w:rPr>
          <w:rFonts w:hint="eastAsia" w:ascii="宋体" w:hAnsi="宋体" w:eastAsia="宋体" w:cs="宋体"/>
          <w:color w:val="auto"/>
          <w:sz w:val="24"/>
          <w:szCs w:val="24"/>
        </w:rPr>
        <w:t>（3）此表须</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加盖单位公章，未提供本表的不进行价格扣除。</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spacing w:before="100" w:beforeAutospacing="1" w:after="100" w:afterAutospacing="1"/>
        <w:jc w:val="center"/>
        <w:outlineLvl w:val="0"/>
        <w:rPr>
          <w:rFonts w:hint="eastAsia" w:ascii="宋体" w:hAnsi="宋体" w:eastAsia="宋体" w:cs="宋体"/>
          <w:color w:val="auto"/>
          <w:kern w:val="0"/>
          <w:sz w:val="24"/>
          <w:szCs w:val="24"/>
        </w:rPr>
      </w:pPr>
      <w:bookmarkStart w:id="275" w:name="_Toc4283"/>
      <w:bookmarkStart w:id="276" w:name="_Toc2674"/>
    </w:p>
    <w:p>
      <w:pPr>
        <w:spacing w:before="100" w:beforeAutospacing="1" w:after="100" w:afterAutospacing="1"/>
        <w:jc w:val="center"/>
        <w:outlineLvl w:val="0"/>
        <w:rPr>
          <w:rFonts w:hint="eastAsia" w:ascii="宋体" w:hAnsi="宋体" w:eastAsia="宋体" w:cs="宋体"/>
          <w:color w:val="auto"/>
          <w:kern w:val="0"/>
          <w:sz w:val="24"/>
          <w:szCs w:val="24"/>
        </w:rPr>
      </w:pPr>
    </w:p>
    <w:p>
      <w:pPr>
        <w:spacing w:before="100" w:beforeAutospacing="1" w:after="100" w:afterAutospacing="1"/>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政府强制采购节能产品明细表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75"/>
      <w:bookmarkEnd w:id="276"/>
    </w:p>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wordWrap w:val="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77"/>
        <w:gridCol w:w="1079"/>
        <w:gridCol w:w="1081"/>
        <w:gridCol w:w="1239"/>
        <w:gridCol w:w="1274"/>
        <w:gridCol w:w="851"/>
        <w:gridCol w:w="10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品牌/型号</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厂家/产地</w:t>
            </w:r>
          </w:p>
        </w:tc>
        <w:tc>
          <w:tcPr>
            <w:tcW w:w="123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节字标志</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认证证书号</w:t>
            </w:r>
          </w:p>
        </w:tc>
        <w:tc>
          <w:tcPr>
            <w:tcW w:w="1274" w:type="dxa"/>
            <w:noWrap w:val="0"/>
            <w:vAlign w:val="center"/>
          </w:tcPr>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节能产品认证证书有效截止日期</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注：1、政府采购强制节能产品根据财政部、发展改革委公布的《节能产品政府采购品目清单》 确定。 2、强制节能产品按本表逐一填写，否则按无效投标处理。 3、本表中所报产品型号必须与《节能产品政府采购品目清单》一致，节能标志认证证书号、认证证书有效截止日期必须与提交的认证证书原件的扫描件一致，否则按无效投标处理。 4、节能产品认证应依据相关国家标准的最新版本，依据国家标准中二级能效（水效）指标。</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ind w:left="0" w:leftChars="0" w:firstLine="0" w:firstLineChars="0"/>
        <w:rPr>
          <w:rFonts w:hint="eastAsia" w:ascii="宋体" w:hAnsi="宋体" w:eastAsia="宋体" w:cs="宋体"/>
        </w:rPr>
      </w:pPr>
    </w:p>
    <w:sectPr>
      <w:footerReference r:id="rId11" w:type="first"/>
      <w:headerReference r:id="rId9" w:type="default"/>
      <w:footerReference r:id="rId10" w:type="default"/>
      <w:pgSz w:w="11906" w:h="16838"/>
      <w:pgMar w:top="1440" w:right="1531" w:bottom="1440" w:left="1531" w:header="850" w:footer="964" w:gutter="0"/>
      <w:cols w:space="720" w:num="1"/>
      <w:titlePg/>
      <w:docGrid w:type="linesAndChars" w:linePitch="312" w:charSpace="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20"/>
      </w:tabs>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w:r>
    <w:r>
      <w:rPr>
        <w:sz w:val="18"/>
      </w:rPr>
      <w:pict>
        <v:shape id="_x0000_s1027" o:spid="_x0000_s1027"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LxG022gEAAK8DAAAOAAAAZHJzL2Uyb0RvYy54bWytU0tu2zAQ&#10;3RfoHQjua8lJ3CaC5aCBkaJA0QZIcgCaIi0C/IFDW/IF2ht01U33PZfPkSElOUW6yaIbasgZvpn3&#10;+LS87o0mexFAOVvT+aykRFjuGmW3NX18uH13SQlEZhumnRU1PQig16u3b5adr8SZa51uRCAIYqHq&#10;fE3bGH1VFMBbYRjMnBcWk9IFwyJuw7ZoAusQ3ejirCzfF50LjQ+OCwA8XQ9JOiKG1wA6KRUXa8d3&#10;Rtg4oAahWURK0CoPdJWnlVLw+E1KEJHomiLTmFdsgvEmrcVqyaptYL5VfByBvWaEF5wMUxabnqDW&#10;LDKyC+ofKKN4cOBknHFnioFIVgRZzMsX2ty3zIvMBaUGfxId/h8s/7q/C0Q1NV1QYpnBBz/+/HH8&#10;9ef4+ztZJHk6DxVW3Xusi/2N69E00zngYWLdy2DSF/kQzKO4h5O4oo+Ep0vzi6tzbMIxNV+clxgj&#10;evF82QeIn4QzJAU1Dfh2WVK2/wJxKJ1KUi/rbpXW+f20JV0CvfywyDdOKUTXNhWLbIURJzEaJk9R&#10;7Df9SHPjmgOy7NAONbXofkr0Z4tqJ+dMQZiCzRTsfFDbNlsr9QL/cRdxuDxz6jDAIte0wXfMrEfP&#10;JaP8vc9Vz//Z6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8RtNtoBAACvAwAADgAAAAAA&#10;AAABACAAAAAjAQAAZHJzL2Uyb0RvYy54bWxQSwUGAAAAAAYABgBZAQAAbwUAAAAA&#10;">
          <v:path/>
          <v:fill on="f" focussize="0,0"/>
          <v:stroke on="f" weight="1.25pt" joinstyle="miter"/>
          <v:imagedata o:title=""/>
          <o:lock v:ext="edit"/>
          <v:textbox inset="0mm,0mm,0mm,0mm" style="mso-fit-shape-to-text:t;">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w:r>
    <w:r>
      <w:rPr>
        <w:sz w:val="18"/>
      </w:rPr>
      <w:pict>
        <v:shape id="_x0000_s1029" o:spid="_x0000_s1029"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qyMUI2wEAAK8DAAAOAAAAZHJzL2Uyb0RvYy54bWytU0tu2zAQ&#10;3RfIHQjua8mJ3aaC5aCBkaJA0RZIewCaIi0C/IFDW/IFkht01U33PZfP0SElOUW6yaIbasgZvpn3&#10;+LS66Y0mBxFAOVvT+aykRFjuGmV3Nf3+7e71NSUQmW2YdlbU9CiA3qwvXq06X4lL1zrdiEAQxELV&#10;+Zq2MfqqKIC3wjCYOS8sJqULhkXchl3RBNYhutHFZVm+KToXGh8cFwB4uhmSdEQMLwF0UiouNo7v&#10;jbBxQA1Cs4iUoFUe6DpPK6Xg8YuUICLRNUWmMa/YBONtWov1ilW7wHyr+DgCe8kIzzgZpiw2PUNt&#10;WGRkH9Q/UEbx4MDJOOPOFAORrAiymJfPtLlvmReZC0oN/iw6/D9Y/vnwNRDV1HRBiWUGH/z04/H0&#10;8/fp1wNZJHk6DxVW3Xusi/2t69E00zngYWLdy2DSF/kQzKO4x7O4oo+Ep0vzxburJSUcU/PlVYkx&#10;ohdPl32A+EE4Q1JQ04BvlyVlh08Qh9KpJPWy7k5pnd9PW9Il0Ou3y3zjnEJ0bVOxyFYYcRKjYfIU&#10;xX7bjzS3rjkiyw7tUFOL7qdEf7SodnLOFIQp2E7B3ge1a7O1Ui/w7/cRh8szpw4DLHJNG3zHzHr0&#10;XDLK3/tc9fSfr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uz2U9QAAAADAQAADwAAAAAAAAAB&#10;ACAAAAAiAAAAZHJzL2Rvd25yZXYueG1sUEsBAhQAFAAAAAgAh07iQKrIxQjbAQAArwMAAA4AAAAA&#10;AAAAAQAgAAAAIwEAAGRycy9lMm9Eb2MueG1sUEsFBgAAAAAGAAYAWQEAAHAFAAAAAA==&#10;">
          <v:path/>
          <v:fill on="f" focussize="0,0"/>
          <v:stroke on="f" weight="1.25pt" joinstyle="miter"/>
          <v:imagedata o:title=""/>
          <o:lock v:ext="edit"/>
          <v:textbox inset="0mm,0mm,0mm,0mm" style="mso-fit-shape-to-text:t;">
            <w:txbxContent>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C116"/>
    <w:multiLevelType w:val="singleLevel"/>
    <w:tmpl w:val="979AC116"/>
    <w:lvl w:ilvl="0" w:tentative="0">
      <w:start w:val="1"/>
      <w:numFmt w:val="decimal"/>
      <w:suff w:val="nothing"/>
      <w:lvlText w:val="%1、"/>
      <w:lvlJc w:val="left"/>
    </w:lvl>
  </w:abstractNum>
  <w:abstractNum w:abstractNumId="1">
    <w:nsid w:val="C6035B91"/>
    <w:multiLevelType w:val="singleLevel"/>
    <w:tmpl w:val="C6035B91"/>
    <w:lvl w:ilvl="0" w:tentative="0">
      <w:start w:val="1"/>
      <w:numFmt w:val="decimal"/>
      <w:lvlText w:val="%1."/>
      <w:lvlJc w:val="left"/>
      <w:pPr>
        <w:tabs>
          <w:tab w:val="left" w:pos="312"/>
        </w:tabs>
      </w:pPr>
    </w:lvl>
  </w:abstractNum>
  <w:abstractNum w:abstractNumId="2">
    <w:nsid w:val="E504EF1C"/>
    <w:multiLevelType w:val="singleLevel"/>
    <w:tmpl w:val="E504EF1C"/>
    <w:lvl w:ilvl="0" w:tentative="0">
      <w:start w:val="1"/>
      <w:numFmt w:val="decimal"/>
      <w:lvlText w:val="%1."/>
      <w:lvlJc w:val="left"/>
      <w:pPr>
        <w:tabs>
          <w:tab w:val="left" w:pos="312"/>
        </w:tabs>
      </w:pPr>
    </w:lvl>
  </w:abstractNum>
  <w:abstractNum w:abstractNumId="3">
    <w:nsid w:val="00000007"/>
    <w:multiLevelType w:val="multilevel"/>
    <w:tmpl w:val="00000007"/>
    <w:lvl w:ilvl="0" w:tentative="0">
      <w:start w:val="1"/>
      <w:numFmt w:val="chineseCountingThousand"/>
      <w:lvlText w:val="第%1部分"/>
      <w:lvlJc w:val="left"/>
      <w:pPr>
        <w:tabs>
          <w:tab w:val="left" w:pos="1440"/>
        </w:tabs>
        <w:ind w:left="0" w:firstLine="0"/>
      </w:pPr>
      <w:rPr>
        <w:rFonts w:hint="eastAsia"/>
      </w:rPr>
    </w:lvl>
    <w:lvl w:ilvl="1" w:tentative="0">
      <w:start w:val="2"/>
      <w:numFmt w:val="japaneseCounting"/>
      <w:pStyle w:val="33"/>
      <w:lvlText w:val="%2、"/>
      <w:lvlJc w:val="left"/>
      <w:pPr>
        <w:tabs>
          <w:tab w:val="left" w:pos="1140"/>
        </w:tabs>
        <w:ind w:left="1140" w:hanging="720"/>
      </w:pPr>
      <w:rPr>
        <w:rFonts w:hint="default"/>
        <w:b/>
      </w:rPr>
    </w:lvl>
    <w:lvl w:ilvl="2" w:tentative="0">
      <w:start w:val="1"/>
      <w:numFmt w:val="lowerRoman"/>
      <w:pStyle w:val="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A"/>
    <w:multiLevelType w:val="multilevel"/>
    <w:tmpl w:val="0000001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2F29AA6"/>
    <w:multiLevelType w:val="singleLevel"/>
    <w:tmpl w:val="02F29AA6"/>
    <w:lvl w:ilvl="0" w:tentative="0">
      <w:start w:val="1"/>
      <w:numFmt w:val="chineseCounting"/>
      <w:suff w:val="space"/>
      <w:lvlText w:val="第%1章"/>
      <w:lvlJc w:val="left"/>
      <w:rPr>
        <w:rFonts w:hint="eastAsia"/>
      </w:rPr>
    </w:lvl>
  </w:abstractNum>
  <w:abstractNum w:abstractNumId="8">
    <w:nsid w:val="11670F51"/>
    <w:multiLevelType w:val="singleLevel"/>
    <w:tmpl w:val="11670F51"/>
    <w:lvl w:ilvl="0" w:tentative="0">
      <w:start w:val="6"/>
      <w:numFmt w:val="chineseCounting"/>
      <w:suff w:val="nothing"/>
      <w:lvlText w:val="%1、"/>
      <w:lvlJc w:val="left"/>
      <w:rPr>
        <w:rFonts w:hint="eastAsia"/>
      </w:rPr>
    </w:lvl>
  </w:abstractNum>
  <w:abstractNum w:abstractNumId="9">
    <w:nsid w:val="159F2BF0"/>
    <w:multiLevelType w:val="multilevel"/>
    <w:tmpl w:val="159F2BF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0">
    <w:nsid w:val="16B554B7"/>
    <w:multiLevelType w:val="multilevel"/>
    <w:tmpl w:val="16B554B7"/>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11">
    <w:nsid w:val="19906B50"/>
    <w:multiLevelType w:val="multilevel"/>
    <w:tmpl w:val="19906B5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2">
    <w:nsid w:val="21C532B0"/>
    <w:multiLevelType w:val="multilevel"/>
    <w:tmpl w:val="21C532B0"/>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E8E242F"/>
    <w:multiLevelType w:val="singleLevel"/>
    <w:tmpl w:val="2E8E242F"/>
    <w:lvl w:ilvl="0" w:tentative="0">
      <w:start w:val="25"/>
      <w:numFmt w:val="decimal"/>
      <w:lvlText w:val="%1."/>
      <w:lvlJc w:val="left"/>
      <w:pPr>
        <w:tabs>
          <w:tab w:val="left" w:pos="312"/>
        </w:tabs>
      </w:pPr>
    </w:lvl>
  </w:abstractNum>
  <w:abstractNum w:abstractNumId="14">
    <w:nsid w:val="3516413D"/>
    <w:multiLevelType w:val="multilevel"/>
    <w:tmpl w:val="3516413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15">
    <w:nsid w:val="35FE1D30"/>
    <w:multiLevelType w:val="multilevel"/>
    <w:tmpl w:val="35FE1D3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6">
    <w:nsid w:val="377C58AD"/>
    <w:multiLevelType w:val="multilevel"/>
    <w:tmpl w:val="377C58AD"/>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7">
    <w:nsid w:val="50EE6FC6"/>
    <w:multiLevelType w:val="multilevel"/>
    <w:tmpl w:val="50EE6FC6"/>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18">
    <w:nsid w:val="510906F4"/>
    <w:multiLevelType w:val="multilevel"/>
    <w:tmpl w:val="510906F4"/>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9">
    <w:nsid w:val="539C3D9B"/>
    <w:multiLevelType w:val="multilevel"/>
    <w:tmpl w:val="539C3D9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40930A4"/>
    <w:multiLevelType w:val="multilevel"/>
    <w:tmpl w:val="540930A4"/>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1">
    <w:nsid w:val="58477123"/>
    <w:multiLevelType w:val="multilevel"/>
    <w:tmpl w:val="5847712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22">
    <w:nsid w:val="58998BD0"/>
    <w:multiLevelType w:val="singleLevel"/>
    <w:tmpl w:val="58998BD0"/>
    <w:lvl w:ilvl="0" w:tentative="0">
      <w:start w:val="2"/>
      <w:numFmt w:val="chineseCounting"/>
      <w:suff w:val="space"/>
      <w:lvlText w:val="第%1章"/>
      <w:lvlJc w:val="left"/>
    </w:lvl>
  </w:abstractNum>
  <w:abstractNum w:abstractNumId="23">
    <w:nsid w:val="5A043BCF"/>
    <w:multiLevelType w:val="singleLevel"/>
    <w:tmpl w:val="5A043BCF"/>
    <w:lvl w:ilvl="0" w:tentative="0">
      <w:start w:val="18"/>
      <w:numFmt w:val="decimal"/>
      <w:lvlText w:val="%1."/>
      <w:lvlJc w:val="left"/>
      <w:pPr>
        <w:tabs>
          <w:tab w:val="left" w:pos="312"/>
        </w:tabs>
      </w:pPr>
    </w:lvl>
  </w:abstractNum>
  <w:abstractNum w:abstractNumId="24">
    <w:nsid w:val="63061A95"/>
    <w:multiLevelType w:val="multilevel"/>
    <w:tmpl w:val="63061A95"/>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5">
    <w:nsid w:val="649385E4"/>
    <w:multiLevelType w:val="singleLevel"/>
    <w:tmpl w:val="649385E4"/>
    <w:lvl w:ilvl="0" w:tentative="0">
      <w:start w:val="1"/>
      <w:numFmt w:val="chineseCounting"/>
      <w:suff w:val="nothing"/>
      <w:lvlText w:val="%1、"/>
      <w:lvlJc w:val="left"/>
      <w:rPr>
        <w:rFonts w:hint="eastAsia"/>
      </w:rPr>
    </w:lvl>
  </w:abstractNum>
  <w:abstractNum w:abstractNumId="26">
    <w:nsid w:val="70BC2DB2"/>
    <w:multiLevelType w:val="multilevel"/>
    <w:tmpl w:val="70BC2DB2"/>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7">
    <w:nsid w:val="71C0C809"/>
    <w:multiLevelType w:val="singleLevel"/>
    <w:tmpl w:val="71C0C809"/>
    <w:lvl w:ilvl="0" w:tentative="0">
      <w:start w:val="1"/>
      <w:numFmt w:val="decimal"/>
      <w:suff w:val="nothing"/>
      <w:lvlText w:val="%1、"/>
      <w:lvlJc w:val="left"/>
    </w:lvl>
  </w:abstractNum>
  <w:abstractNum w:abstractNumId="28">
    <w:nsid w:val="783D1132"/>
    <w:multiLevelType w:val="multilevel"/>
    <w:tmpl w:val="783D1132"/>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29">
    <w:nsid w:val="7A76620D"/>
    <w:multiLevelType w:val="multilevel"/>
    <w:tmpl w:val="7A76620D"/>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num w:numId="1">
    <w:abstractNumId w:val="3"/>
  </w:num>
  <w:num w:numId="2">
    <w:abstractNumId w:val="7"/>
  </w:num>
  <w:num w:numId="3">
    <w:abstractNumId w:val="1"/>
  </w:num>
  <w:num w:numId="4">
    <w:abstractNumId w:val="22"/>
  </w:num>
  <w:num w:numId="5">
    <w:abstractNumId w:val="5"/>
  </w:num>
  <w:num w:numId="6">
    <w:abstractNumId w:val="6"/>
  </w:num>
  <w:num w:numId="7">
    <w:abstractNumId w:val="4"/>
  </w:num>
  <w:num w:numId="8">
    <w:abstractNumId w:val="0"/>
  </w:num>
  <w:num w:numId="9">
    <w:abstractNumId w:val="27"/>
  </w:num>
  <w:num w:numId="10">
    <w:abstractNumId w:val="2"/>
  </w:num>
  <w:num w:numId="11">
    <w:abstractNumId w:val="23"/>
  </w:num>
  <w:num w:numId="12">
    <w:abstractNumId w:val="13"/>
  </w:num>
  <w:num w:numId="13">
    <w:abstractNumId w:val="19"/>
  </w:num>
  <w:num w:numId="14">
    <w:abstractNumId w:val="24"/>
  </w:num>
  <w:num w:numId="15">
    <w:abstractNumId w:val="15"/>
  </w:num>
  <w:num w:numId="16">
    <w:abstractNumId w:val="26"/>
  </w:num>
  <w:num w:numId="17">
    <w:abstractNumId w:val="16"/>
  </w:num>
  <w:num w:numId="18">
    <w:abstractNumId w:val="11"/>
  </w:num>
  <w:num w:numId="19">
    <w:abstractNumId w:val="20"/>
  </w:num>
  <w:num w:numId="20">
    <w:abstractNumId w:val="17"/>
  </w:num>
  <w:num w:numId="21">
    <w:abstractNumId w:val="28"/>
  </w:num>
  <w:num w:numId="22">
    <w:abstractNumId w:val="18"/>
  </w:num>
  <w:num w:numId="23">
    <w:abstractNumId w:val="14"/>
  </w:num>
  <w:num w:numId="24">
    <w:abstractNumId w:val="29"/>
  </w:num>
  <w:num w:numId="25">
    <w:abstractNumId w:val="9"/>
  </w:num>
  <w:num w:numId="26">
    <w:abstractNumId w:val="21"/>
  </w:num>
  <w:num w:numId="27">
    <w:abstractNumId w:val="10"/>
  </w:num>
  <w:num w:numId="28">
    <w:abstractNumId w:val="12"/>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ODkyYmIzZGVhMDc4ZjgzMjE0MjMzODg4NTM3MzgifQ=="/>
  </w:docVars>
  <w:rsids>
    <w:rsidRoot w:val="74C30F87"/>
    <w:rsid w:val="00021FBE"/>
    <w:rsid w:val="00057524"/>
    <w:rsid w:val="000A11BE"/>
    <w:rsid w:val="000E34E5"/>
    <w:rsid w:val="001239C2"/>
    <w:rsid w:val="0014769E"/>
    <w:rsid w:val="0017229C"/>
    <w:rsid w:val="00184567"/>
    <w:rsid w:val="00196D9A"/>
    <w:rsid w:val="001B6C17"/>
    <w:rsid w:val="002174D4"/>
    <w:rsid w:val="00276DDD"/>
    <w:rsid w:val="00305332"/>
    <w:rsid w:val="00336FBC"/>
    <w:rsid w:val="00356CC8"/>
    <w:rsid w:val="003B553C"/>
    <w:rsid w:val="003C7CF0"/>
    <w:rsid w:val="003E1AB3"/>
    <w:rsid w:val="003E409C"/>
    <w:rsid w:val="00425E73"/>
    <w:rsid w:val="004548D6"/>
    <w:rsid w:val="0046015A"/>
    <w:rsid w:val="0047526A"/>
    <w:rsid w:val="0048163E"/>
    <w:rsid w:val="004A3FFC"/>
    <w:rsid w:val="004B2804"/>
    <w:rsid w:val="005200CD"/>
    <w:rsid w:val="005771DA"/>
    <w:rsid w:val="00582183"/>
    <w:rsid w:val="005F20B6"/>
    <w:rsid w:val="00611564"/>
    <w:rsid w:val="0063143F"/>
    <w:rsid w:val="0065671F"/>
    <w:rsid w:val="0067076D"/>
    <w:rsid w:val="00677905"/>
    <w:rsid w:val="006B3784"/>
    <w:rsid w:val="006F4AAA"/>
    <w:rsid w:val="00703B6B"/>
    <w:rsid w:val="0071455F"/>
    <w:rsid w:val="00734CAD"/>
    <w:rsid w:val="0075114A"/>
    <w:rsid w:val="00773988"/>
    <w:rsid w:val="007D217B"/>
    <w:rsid w:val="0084060C"/>
    <w:rsid w:val="0084315A"/>
    <w:rsid w:val="0084500F"/>
    <w:rsid w:val="0085410A"/>
    <w:rsid w:val="00865CCF"/>
    <w:rsid w:val="00910A0D"/>
    <w:rsid w:val="0096243C"/>
    <w:rsid w:val="00964587"/>
    <w:rsid w:val="009D33C9"/>
    <w:rsid w:val="00A573E8"/>
    <w:rsid w:val="00A57691"/>
    <w:rsid w:val="00A64BF2"/>
    <w:rsid w:val="00A90F7C"/>
    <w:rsid w:val="00B12B9C"/>
    <w:rsid w:val="00B450AD"/>
    <w:rsid w:val="00B46468"/>
    <w:rsid w:val="00B51C42"/>
    <w:rsid w:val="00B74A63"/>
    <w:rsid w:val="00BE782F"/>
    <w:rsid w:val="00C21490"/>
    <w:rsid w:val="00C31F15"/>
    <w:rsid w:val="00C409DD"/>
    <w:rsid w:val="00C60C22"/>
    <w:rsid w:val="00CE6961"/>
    <w:rsid w:val="00CF6FBF"/>
    <w:rsid w:val="00D1132F"/>
    <w:rsid w:val="00D87961"/>
    <w:rsid w:val="00DA75F3"/>
    <w:rsid w:val="00DE62B5"/>
    <w:rsid w:val="00E05464"/>
    <w:rsid w:val="00E07BA0"/>
    <w:rsid w:val="00E779BB"/>
    <w:rsid w:val="00E9479A"/>
    <w:rsid w:val="00E9608E"/>
    <w:rsid w:val="00EB46BC"/>
    <w:rsid w:val="00ED50D9"/>
    <w:rsid w:val="00EE4B2F"/>
    <w:rsid w:val="00F163A7"/>
    <w:rsid w:val="00FD3D4C"/>
    <w:rsid w:val="00FD53CA"/>
    <w:rsid w:val="01804A59"/>
    <w:rsid w:val="01BE56E0"/>
    <w:rsid w:val="01FE18DE"/>
    <w:rsid w:val="021E1C2D"/>
    <w:rsid w:val="02F445B1"/>
    <w:rsid w:val="03EA2050"/>
    <w:rsid w:val="046238AD"/>
    <w:rsid w:val="0475016D"/>
    <w:rsid w:val="049D4E18"/>
    <w:rsid w:val="051B4EA1"/>
    <w:rsid w:val="06AA0C85"/>
    <w:rsid w:val="07EA4488"/>
    <w:rsid w:val="07F910B5"/>
    <w:rsid w:val="08085671"/>
    <w:rsid w:val="094F1627"/>
    <w:rsid w:val="0A477ECD"/>
    <w:rsid w:val="0CC06F69"/>
    <w:rsid w:val="0D450251"/>
    <w:rsid w:val="0E356120"/>
    <w:rsid w:val="0E993D0C"/>
    <w:rsid w:val="0ED43100"/>
    <w:rsid w:val="104D43A1"/>
    <w:rsid w:val="105A3889"/>
    <w:rsid w:val="10CA743E"/>
    <w:rsid w:val="11FC1517"/>
    <w:rsid w:val="13170194"/>
    <w:rsid w:val="13A16113"/>
    <w:rsid w:val="148A5D72"/>
    <w:rsid w:val="14C434C6"/>
    <w:rsid w:val="16AF0FD8"/>
    <w:rsid w:val="16C77ECC"/>
    <w:rsid w:val="17336D1C"/>
    <w:rsid w:val="17AA3E15"/>
    <w:rsid w:val="17B5184A"/>
    <w:rsid w:val="18525DF2"/>
    <w:rsid w:val="18622F00"/>
    <w:rsid w:val="18A0090C"/>
    <w:rsid w:val="1931408B"/>
    <w:rsid w:val="19711EFD"/>
    <w:rsid w:val="19926C12"/>
    <w:rsid w:val="1A076C77"/>
    <w:rsid w:val="1A490999"/>
    <w:rsid w:val="1B501716"/>
    <w:rsid w:val="1B727234"/>
    <w:rsid w:val="1BE51810"/>
    <w:rsid w:val="1C546FE5"/>
    <w:rsid w:val="1D3B6F0E"/>
    <w:rsid w:val="1E2E3FC6"/>
    <w:rsid w:val="1E4A3359"/>
    <w:rsid w:val="1EFD7FE8"/>
    <w:rsid w:val="1F9253D0"/>
    <w:rsid w:val="205568FD"/>
    <w:rsid w:val="21156B08"/>
    <w:rsid w:val="212A6F0E"/>
    <w:rsid w:val="21472628"/>
    <w:rsid w:val="223F2969"/>
    <w:rsid w:val="226D2E01"/>
    <w:rsid w:val="23C87E61"/>
    <w:rsid w:val="23F32A04"/>
    <w:rsid w:val="24270DC3"/>
    <w:rsid w:val="24E3037C"/>
    <w:rsid w:val="26357304"/>
    <w:rsid w:val="26A84860"/>
    <w:rsid w:val="27541A82"/>
    <w:rsid w:val="27B230F0"/>
    <w:rsid w:val="27C61D1B"/>
    <w:rsid w:val="27CC5B3D"/>
    <w:rsid w:val="27EB33F9"/>
    <w:rsid w:val="28150FB7"/>
    <w:rsid w:val="282F4B32"/>
    <w:rsid w:val="28366E80"/>
    <w:rsid w:val="28735DB6"/>
    <w:rsid w:val="287B65B7"/>
    <w:rsid w:val="29F55E10"/>
    <w:rsid w:val="2A0E6DE9"/>
    <w:rsid w:val="2A3944AB"/>
    <w:rsid w:val="2A53215E"/>
    <w:rsid w:val="2B031CDE"/>
    <w:rsid w:val="2B084FE7"/>
    <w:rsid w:val="2B0B34EF"/>
    <w:rsid w:val="2BA86AEF"/>
    <w:rsid w:val="2D2530A5"/>
    <w:rsid w:val="2D8D12D2"/>
    <w:rsid w:val="2FC242FE"/>
    <w:rsid w:val="31664E4F"/>
    <w:rsid w:val="317000AF"/>
    <w:rsid w:val="32644AF0"/>
    <w:rsid w:val="32A609FD"/>
    <w:rsid w:val="32FE5B04"/>
    <w:rsid w:val="33567D64"/>
    <w:rsid w:val="33EC7200"/>
    <w:rsid w:val="348C0391"/>
    <w:rsid w:val="36165C0F"/>
    <w:rsid w:val="36320055"/>
    <w:rsid w:val="3703394B"/>
    <w:rsid w:val="371E6E81"/>
    <w:rsid w:val="378F64B9"/>
    <w:rsid w:val="38E7123D"/>
    <w:rsid w:val="390E0C5F"/>
    <w:rsid w:val="39A8206F"/>
    <w:rsid w:val="3A5748C6"/>
    <w:rsid w:val="3AB147DF"/>
    <w:rsid w:val="3ADD72BE"/>
    <w:rsid w:val="3B9974F4"/>
    <w:rsid w:val="3C132C78"/>
    <w:rsid w:val="3C1B63C9"/>
    <w:rsid w:val="3CEE3C97"/>
    <w:rsid w:val="3D6F2940"/>
    <w:rsid w:val="3E1E7A90"/>
    <w:rsid w:val="3E8E632C"/>
    <w:rsid w:val="3ED05615"/>
    <w:rsid w:val="3F3E2EDE"/>
    <w:rsid w:val="3F9E10B0"/>
    <w:rsid w:val="404A587B"/>
    <w:rsid w:val="41351E0A"/>
    <w:rsid w:val="4200645B"/>
    <w:rsid w:val="42DB0742"/>
    <w:rsid w:val="431A1904"/>
    <w:rsid w:val="432555A6"/>
    <w:rsid w:val="440139B1"/>
    <w:rsid w:val="457852CB"/>
    <w:rsid w:val="46D97434"/>
    <w:rsid w:val="46FD483B"/>
    <w:rsid w:val="48254EA1"/>
    <w:rsid w:val="49657768"/>
    <w:rsid w:val="49ED5461"/>
    <w:rsid w:val="49F12DF2"/>
    <w:rsid w:val="4E040F3A"/>
    <w:rsid w:val="4EB32B9E"/>
    <w:rsid w:val="4EF04771"/>
    <w:rsid w:val="4FD00291"/>
    <w:rsid w:val="50C555A5"/>
    <w:rsid w:val="51307EF2"/>
    <w:rsid w:val="51CC3F47"/>
    <w:rsid w:val="51F3031B"/>
    <w:rsid w:val="536050E0"/>
    <w:rsid w:val="543C583B"/>
    <w:rsid w:val="54FB56BE"/>
    <w:rsid w:val="5527584B"/>
    <w:rsid w:val="568706E1"/>
    <w:rsid w:val="57AF2CB8"/>
    <w:rsid w:val="57ED4A02"/>
    <w:rsid w:val="589D376F"/>
    <w:rsid w:val="59D46617"/>
    <w:rsid w:val="5A3967E4"/>
    <w:rsid w:val="5B037B04"/>
    <w:rsid w:val="5B5E403D"/>
    <w:rsid w:val="5CC75B2D"/>
    <w:rsid w:val="5CE44415"/>
    <w:rsid w:val="5D32301D"/>
    <w:rsid w:val="5D3A32CE"/>
    <w:rsid w:val="5D462AFE"/>
    <w:rsid w:val="5D4D7062"/>
    <w:rsid w:val="5DF33699"/>
    <w:rsid w:val="5E543AC4"/>
    <w:rsid w:val="5E976174"/>
    <w:rsid w:val="60531CFF"/>
    <w:rsid w:val="60F125CE"/>
    <w:rsid w:val="613A4737"/>
    <w:rsid w:val="615A3AE7"/>
    <w:rsid w:val="61EA4375"/>
    <w:rsid w:val="62E960A5"/>
    <w:rsid w:val="63162FDA"/>
    <w:rsid w:val="63937E38"/>
    <w:rsid w:val="63B03919"/>
    <w:rsid w:val="63C416EF"/>
    <w:rsid w:val="63E211A0"/>
    <w:rsid w:val="6402797A"/>
    <w:rsid w:val="64987335"/>
    <w:rsid w:val="64CF3D12"/>
    <w:rsid w:val="64DF4B81"/>
    <w:rsid w:val="65BD2EB1"/>
    <w:rsid w:val="66481231"/>
    <w:rsid w:val="67732BC2"/>
    <w:rsid w:val="69153874"/>
    <w:rsid w:val="691A7AD8"/>
    <w:rsid w:val="6B997177"/>
    <w:rsid w:val="6BB44CD3"/>
    <w:rsid w:val="6C136D6D"/>
    <w:rsid w:val="6F5A7620"/>
    <w:rsid w:val="6FCA1A2F"/>
    <w:rsid w:val="703E4ED1"/>
    <w:rsid w:val="70574D4C"/>
    <w:rsid w:val="70C55530"/>
    <w:rsid w:val="71462760"/>
    <w:rsid w:val="719132AD"/>
    <w:rsid w:val="71FE1F04"/>
    <w:rsid w:val="736E42C0"/>
    <w:rsid w:val="73734595"/>
    <w:rsid w:val="73C626E7"/>
    <w:rsid w:val="73E049F2"/>
    <w:rsid w:val="73F87BD9"/>
    <w:rsid w:val="74200C32"/>
    <w:rsid w:val="74C30F87"/>
    <w:rsid w:val="751809AF"/>
    <w:rsid w:val="755D5634"/>
    <w:rsid w:val="760A44C1"/>
    <w:rsid w:val="762C1E5F"/>
    <w:rsid w:val="76D46E88"/>
    <w:rsid w:val="76D552FA"/>
    <w:rsid w:val="775F3697"/>
    <w:rsid w:val="77F5717A"/>
    <w:rsid w:val="788922D0"/>
    <w:rsid w:val="78A83CA6"/>
    <w:rsid w:val="7AAB39D6"/>
    <w:rsid w:val="7AEF6BF7"/>
    <w:rsid w:val="7C547886"/>
    <w:rsid w:val="7D17376F"/>
    <w:rsid w:val="7D540A87"/>
    <w:rsid w:val="7DD1451E"/>
    <w:rsid w:val="7E1626EC"/>
    <w:rsid w:val="7E242B04"/>
    <w:rsid w:val="7E702E36"/>
    <w:rsid w:val="7E93518B"/>
    <w:rsid w:val="7F037D95"/>
    <w:rsid w:val="7F5D6825"/>
    <w:rsid w:val="7F7D56F3"/>
    <w:rsid w:val="7FD9391B"/>
    <w:rsid w:val="7FF82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宋体" w:hAnsi="宋体" w:eastAsia="宋体" w:cs="宋体"/>
      <w:kern w:val="2"/>
      <w:sz w:val="24"/>
      <w:szCs w:val="24"/>
      <w:lang w:val="en-US" w:eastAsia="zh-CN" w:bidi="ar-SA"/>
    </w:rPr>
  </w:style>
  <w:style w:type="paragraph" w:styleId="6">
    <w:name w:val="heading 1"/>
    <w:basedOn w:val="1"/>
    <w:next w:val="1"/>
    <w:qFormat/>
    <w:uiPriority w:val="0"/>
    <w:pPr>
      <w:keepNext/>
      <w:keepLines/>
      <w:spacing w:beforeAutospacing="0" w:line="440" w:lineRule="exact"/>
      <w:ind w:firstLine="0" w:firstLineChars="0"/>
      <w:jc w:val="center"/>
      <w:outlineLvl w:val="0"/>
    </w:pPr>
    <w:rPr>
      <w:b/>
      <w:bCs/>
      <w:kern w:val="44"/>
      <w:sz w:val="30"/>
      <w:szCs w:val="30"/>
    </w:rPr>
  </w:style>
  <w:style w:type="paragraph" w:styleId="7">
    <w:name w:val="heading 2"/>
    <w:basedOn w:val="1"/>
    <w:next w:val="1"/>
    <w:qFormat/>
    <w:uiPriority w:val="0"/>
    <w:pPr>
      <w:keepNext/>
      <w:keepLines/>
      <w:spacing w:line="360" w:lineRule="auto"/>
      <w:outlineLvl w:val="1"/>
    </w:pPr>
    <w:rPr>
      <w:b/>
      <w:sz w:val="28"/>
      <w:szCs w:val="28"/>
    </w:rPr>
  </w:style>
  <w:style w:type="paragraph" w:styleId="8">
    <w:name w:val="heading 3"/>
    <w:basedOn w:val="1"/>
    <w:next w:val="1"/>
    <w:qFormat/>
    <w:uiPriority w:val="0"/>
    <w:pPr>
      <w:keepNext/>
      <w:keepLines/>
      <w:numPr>
        <w:ilvl w:val="2"/>
        <w:numId w:val="1"/>
      </w:numPr>
      <w:adjustRightInd w:val="0"/>
      <w:spacing w:line="440" w:lineRule="exact"/>
      <w:ind w:left="0" w:firstLine="0" w:firstLineChars="0"/>
      <w:textAlignment w:val="baseline"/>
      <w:outlineLvl w:val="2"/>
    </w:pPr>
    <w:rPr>
      <w:b/>
      <w:bCs/>
      <w:kern w:val="0"/>
      <w:sz w:val="24"/>
      <w:szCs w:val="24"/>
    </w:rPr>
  </w:style>
  <w:style w:type="paragraph" w:styleId="9">
    <w:name w:val="heading 4"/>
    <w:basedOn w:val="1"/>
    <w:next w:val="1"/>
    <w:qFormat/>
    <w:uiPriority w:val="1"/>
    <w:pPr>
      <w:outlineLvl w:val="3"/>
    </w:pPr>
    <w:rPr>
      <w:rFonts w:ascii="宋体" w:hAnsi="宋体" w:cs="宋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spacing w:line="420" w:lineRule="exact"/>
      <w:ind w:firstLine="732" w:firstLineChars="300"/>
    </w:pPr>
    <w:rPr>
      <w:spacing w:val="2"/>
      <w:sz w:val="24"/>
      <w:szCs w:val="20"/>
    </w:rPr>
  </w:style>
  <w:style w:type="paragraph" w:styleId="4">
    <w:name w:val="Body Text First Indent"/>
    <w:basedOn w:val="5"/>
    <w:next w:val="1"/>
    <w:unhideWhenUsed/>
    <w:qFormat/>
    <w:uiPriority w:val="99"/>
    <w:pPr>
      <w:spacing w:after="120"/>
      <w:ind w:firstLine="420" w:firstLineChars="100"/>
    </w:pPr>
    <w:rPr>
      <w:kern w:val="0"/>
    </w:rPr>
  </w:style>
  <w:style w:type="paragraph" w:styleId="5">
    <w:name w:val="Body Text"/>
    <w:basedOn w:val="1"/>
    <w:next w:val="1"/>
    <w:qFormat/>
    <w:uiPriority w:val="0"/>
    <w:rPr>
      <w:sz w:val="24"/>
    </w:rPr>
  </w:style>
  <w:style w:type="paragraph" w:styleId="10">
    <w:name w:val="toa heading"/>
    <w:basedOn w:val="1"/>
    <w:next w:val="1"/>
    <w:semiHidden/>
    <w:qFormat/>
    <w:uiPriority w:val="0"/>
    <w:rPr>
      <w:rFonts w:ascii="Arial" w:hAnsi="Arial"/>
      <w:sz w:val="24"/>
    </w:rPr>
  </w:style>
  <w:style w:type="paragraph" w:styleId="11">
    <w:name w:val="List 2"/>
    <w:basedOn w:val="1"/>
    <w:qFormat/>
    <w:uiPriority w:val="0"/>
    <w:pPr>
      <w:ind w:left="100" w:leftChars="200" w:hanging="200" w:hangingChars="200"/>
    </w:pPr>
    <w:rPr>
      <w:rFonts w:ascii="Calibri" w:hAnsi="Calibri"/>
      <w:szCs w:val="22"/>
    </w:rPr>
  </w:style>
  <w:style w:type="paragraph" w:styleId="12">
    <w:name w:val="toc 5"/>
    <w:basedOn w:val="1"/>
    <w:next w:val="1"/>
    <w:qFormat/>
    <w:uiPriority w:val="0"/>
    <w:pPr>
      <w:ind w:left="1680" w:leftChars="800"/>
    </w:pPr>
  </w:style>
  <w:style w:type="paragraph" w:styleId="13">
    <w:name w:val="Plain Text"/>
    <w:basedOn w:val="1"/>
    <w:next w:val="12"/>
    <w:link w:val="41"/>
    <w:qFormat/>
    <w:uiPriority w:val="99"/>
    <w:rPr>
      <w:rFonts w:ascii="宋体" w:hAnsi="Courier New"/>
      <w:szCs w:val="20"/>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rPr>
      <w:sz w:val="2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3"/>
    <w:qFormat/>
    <w:uiPriority w:val="0"/>
    <w:pPr>
      <w:jc w:val="left"/>
      <w:outlineLvl w:val="0"/>
    </w:pPr>
    <w:rPr>
      <w:rFonts w:ascii="Arial" w:hAnsi="Arial"/>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qFormat/>
    <w:uiPriority w:val="0"/>
    <w:rPr>
      <w:color w:val="800080"/>
      <w:u w:val="none"/>
    </w:rPr>
  </w:style>
  <w:style w:type="character" w:styleId="26">
    <w:name w:val="Hyperlink"/>
    <w:basedOn w:val="24"/>
    <w:qFormat/>
    <w:uiPriority w:val="99"/>
    <w:rPr>
      <w:color w:val="0000FF"/>
      <w:u w:val="none"/>
    </w:rPr>
  </w:style>
  <w:style w:type="paragraph" w:customStyle="1" w:styleId="27">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28">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首行缩进"/>
    <w:basedOn w:val="1"/>
    <w:next w:val="1"/>
    <w:qFormat/>
    <w:uiPriority w:val="99"/>
    <w:pPr>
      <w:spacing w:line="360" w:lineRule="auto"/>
      <w:ind w:firstLine="480" w:firstLineChars="200"/>
    </w:pPr>
    <w:rPr>
      <w:rFonts w:ascii="宋体" w:hAnsi="宋体" w:cs="宋体"/>
      <w:kern w:val="0"/>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Table Paragraph"/>
    <w:basedOn w:val="1"/>
    <w:qFormat/>
    <w:uiPriority w:val="1"/>
    <w:rPr>
      <w:rFonts w:ascii="宋体" w:hAnsi="宋体" w:cs="宋体"/>
      <w:lang w:val="zh-CN" w:bidi="zh-CN"/>
    </w:rPr>
  </w:style>
  <w:style w:type="paragraph" w:customStyle="1" w:styleId="33">
    <w:name w:val="Level 2"/>
    <w:basedOn w:val="1"/>
    <w:qFormat/>
    <w:uiPriority w:val="0"/>
    <w:pPr>
      <w:widowControl/>
      <w:numPr>
        <w:ilvl w:val="1"/>
        <w:numId w:val="1"/>
      </w:numPr>
      <w:tabs>
        <w:tab w:val="left" w:pos="360"/>
        <w:tab w:val="left" w:pos="567"/>
      </w:tabs>
      <w:spacing w:after="140" w:line="288" w:lineRule="auto"/>
    </w:pPr>
    <w:rPr>
      <w:rFonts w:ascii="Arial" w:hAnsi="Arial"/>
      <w:kern w:val="20"/>
      <w:sz w:val="20"/>
      <w:szCs w:val="28"/>
      <w:lang w:val="en-GB" w:eastAsia="en-US"/>
    </w:rPr>
  </w:style>
  <w:style w:type="paragraph" w:customStyle="1" w:styleId="3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35">
    <w:name w:val="font71"/>
    <w:basedOn w:val="24"/>
    <w:qFormat/>
    <w:uiPriority w:val="0"/>
    <w:rPr>
      <w:rFonts w:hint="default" w:ascii="Times New Roman" w:hAnsi="Times New Roman" w:cs="Times New Roman"/>
      <w:color w:val="000000"/>
      <w:sz w:val="20"/>
      <w:szCs w:val="20"/>
      <w:u w:val="none"/>
    </w:rPr>
  </w:style>
  <w:style w:type="character" w:customStyle="1" w:styleId="36">
    <w:name w:val="font111"/>
    <w:basedOn w:val="24"/>
    <w:qFormat/>
    <w:uiPriority w:val="0"/>
    <w:rPr>
      <w:rFonts w:hint="eastAsia" w:ascii="宋体" w:hAnsi="宋体" w:eastAsia="宋体" w:cs="宋体"/>
      <w:b/>
      <w:color w:val="000000"/>
      <w:sz w:val="20"/>
      <w:szCs w:val="20"/>
      <w:u w:val="none"/>
    </w:rPr>
  </w:style>
  <w:style w:type="paragraph" w:styleId="37">
    <w:name w:val="List Paragraph"/>
    <w:basedOn w:val="1"/>
    <w:qFormat/>
    <w:uiPriority w:val="1"/>
    <w:pPr>
      <w:spacing w:before="1"/>
      <w:ind w:left="280" w:firstLine="480"/>
    </w:pPr>
    <w:rPr>
      <w:rFonts w:ascii="宋体" w:hAnsi="宋体" w:cs="宋体"/>
    </w:rPr>
  </w:style>
  <w:style w:type="paragraph" w:customStyle="1" w:styleId="38">
    <w:name w:val="BodyText1I2"/>
    <w:basedOn w:val="39"/>
    <w:next w:val="1"/>
    <w:qFormat/>
    <w:uiPriority w:val="0"/>
    <w:pPr>
      <w:ind w:firstLine="420" w:firstLineChars="200"/>
    </w:pPr>
  </w:style>
  <w:style w:type="paragraph" w:customStyle="1" w:styleId="39">
    <w:name w:val="BodyTextIndent"/>
    <w:basedOn w:val="1"/>
    <w:next w:val="38"/>
    <w:qFormat/>
    <w:uiPriority w:val="0"/>
    <w:pPr>
      <w:spacing w:after="120"/>
      <w:ind w:left="420" w:leftChars="200"/>
    </w:pPr>
    <w:rPr>
      <w:rFonts w:ascii="Calibri" w:hAnsi="Calibri"/>
    </w:rPr>
  </w:style>
  <w:style w:type="character" w:customStyle="1" w:styleId="40">
    <w:name w:val="批注框文本 Char"/>
    <w:basedOn w:val="24"/>
    <w:link w:val="14"/>
    <w:qFormat/>
    <w:uiPriority w:val="0"/>
    <w:rPr>
      <w:kern w:val="2"/>
      <w:sz w:val="18"/>
      <w:szCs w:val="18"/>
    </w:rPr>
  </w:style>
  <w:style w:type="character" w:customStyle="1" w:styleId="41">
    <w:name w:val="纯文本 Char"/>
    <w:basedOn w:val="24"/>
    <w:link w:val="13"/>
    <w:qFormat/>
    <w:uiPriority w:val="99"/>
    <w:rPr>
      <w:rFonts w:ascii="宋体" w:hAnsi="Courier New"/>
      <w:kern w:val="2"/>
      <w:sz w:val="21"/>
    </w:rPr>
  </w:style>
  <w:style w:type="character" w:customStyle="1" w:styleId="42">
    <w:name w:val="fontstyle01"/>
    <w:qFormat/>
    <w:uiPriority w:val="0"/>
    <w:rPr>
      <w:rFonts w:hint="eastAsia" w:ascii="宋体" w:hAnsi="宋体" w:eastAsia="宋体"/>
      <w:color w:val="000000"/>
      <w:sz w:val="24"/>
      <w:szCs w:val="24"/>
    </w:rPr>
  </w:style>
  <w:style w:type="paragraph" w:customStyle="1" w:styleId="43">
    <w:name w:val="列表段落1"/>
    <w:basedOn w:val="1"/>
    <w:qFormat/>
    <w:uiPriority w:val="34"/>
    <w:pPr>
      <w:ind w:firstLine="420" w:firstLineChars="200"/>
    </w:pPr>
    <w:rPr>
      <w:rFonts w:ascii="宋体" w:hAnsi="Times New Roman" w:eastAsia="宋体" w:cs="Times New Roman"/>
      <w:kern w:val="0"/>
      <w:sz w:val="34"/>
      <w:szCs w:val="20"/>
    </w:rPr>
  </w:style>
  <w:style w:type="character" w:customStyle="1" w:styleId="44">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28560</Words>
  <Characters>30581</Characters>
  <Lines>179</Lines>
  <Paragraphs>50</Paragraphs>
  <TotalTime>2</TotalTime>
  <ScaleCrop>false</ScaleCrop>
  <LinksUpToDate>false</LinksUpToDate>
  <CharactersWithSpaces>32194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2021-10-22T08:06:00Z</dcterms:created>
  <dc:creator></dc:creator>
  <cp:lastModifiedBy>NTKO</cp:lastModifiedBy>
  <cp:lastPrinted>2022-10-31T06:58:00Z</cp:lastPrinted>
  <dcterms:modified xsi:type="dcterms:W3CDTF">2022-11-21T07:04:38Z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50CDAC1A51764F75A9A8965912E32D50</vt:lpwstr>
  </property>
</Properties>
</file>